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B5" w:rsidRDefault="003E73F1">
      <w:pPr>
        <w:jc w:val="center"/>
        <w:rPr>
          <w:rFonts w:ascii="Arial Black" w:hAnsi="Arial Black"/>
          <w:b/>
          <w:sz w:val="28"/>
          <w:szCs w:val="28"/>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32.75pt">
            <v:imagedata r:id="rId9" o:title=""/>
          </v:shape>
        </w:pict>
      </w:r>
    </w:p>
    <w:p w:rsidR="00767639" w:rsidRDefault="00E24EB5" w:rsidP="00E24EB5">
      <w:pPr>
        <w:jc w:val="center"/>
      </w:pPr>
      <w:r w:rsidRPr="00FE1332">
        <w:rPr>
          <w:b/>
          <w:sz w:val="28"/>
          <w:szCs w:val="28"/>
        </w:rPr>
        <w:t xml:space="preserve">BRIEFING ON </w:t>
      </w:r>
      <w:r w:rsidR="0002146E">
        <w:rPr>
          <w:b/>
          <w:sz w:val="28"/>
          <w:szCs w:val="28"/>
          <w:u w:val="single"/>
        </w:rPr>
        <w:t>TUVALU</w:t>
      </w:r>
      <w:r w:rsidRPr="00FE1332">
        <w:rPr>
          <w:b/>
          <w:sz w:val="28"/>
          <w:szCs w:val="28"/>
        </w:rPr>
        <w:t xml:space="preserve"> FOR THE </w:t>
      </w:r>
      <w:r w:rsidR="003803FE">
        <w:rPr>
          <w:b/>
          <w:sz w:val="28"/>
          <w:szCs w:val="28"/>
        </w:rPr>
        <w:br/>
      </w:r>
      <w:r w:rsidRPr="00FE1332">
        <w:rPr>
          <w:b/>
          <w:sz w:val="28"/>
          <w:szCs w:val="28"/>
        </w:rPr>
        <w:t xml:space="preserve">COMMITTEE </w:t>
      </w:r>
      <w:r>
        <w:rPr>
          <w:b/>
          <w:sz w:val="28"/>
          <w:szCs w:val="28"/>
        </w:rPr>
        <w:t xml:space="preserve">ON THE RIGHTS OF THE CHILD, </w:t>
      </w:r>
      <w:r w:rsidR="003803FE">
        <w:rPr>
          <w:b/>
          <w:sz w:val="28"/>
          <w:szCs w:val="28"/>
        </w:rPr>
        <w:br/>
      </w:r>
      <w:r w:rsidRPr="00FE1332">
        <w:rPr>
          <w:b/>
          <w:sz w:val="28"/>
          <w:szCs w:val="28"/>
        </w:rPr>
        <w:t>PRESESSIONAL WORKING GROUP –</w:t>
      </w:r>
      <w:r w:rsidR="003803FE">
        <w:rPr>
          <w:b/>
          <w:sz w:val="28"/>
          <w:szCs w:val="28"/>
        </w:rPr>
        <w:t xml:space="preserve">  </w:t>
      </w:r>
      <w:r w:rsidR="0056432B">
        <w:rPr>
          <w:b/>
          <w:sz w:val="28"/>
          <w:szCs w:val="28"/>
          <w:u w:val="single"/>
        </w:rPr>
        <w:t>February 2013</w:t>
      </w:r>
    </w:p>
    <w:p w:rsidR="00767639" w:rsidRDefault="00767639">
      <w:pPr>
        <w:jc w:val="center"/>
        <w:rPr>
          <w:i/>
        </w:rPr>
      </w:pPr>
      <w:r>
        <w:rPr>
          <w:i/>
        </w:rPr>
        <w:t>From Peter Newell, Coordinator, Global Initiative</w:t>
      </w:r>
    </w:p>
    <w:p w:rsidR="00065B23" w:rsidRDefault="003E73F1" w:rsidP="00E24EB5">
      <w:pPr>
        <w:jc w:val="center"/>
        <w:rPr>
          <w:rStyle w:val="Hyperlink"/>
          <w:i/>
        </w:rPr>
      </w:pPr>
      <w:hyperlink r:id="rId10" w:history="1">
        <w:r w:rsidR="00767639">
          <w:rPr>
            <w:rStyle w:val="Hyperlink"/>
            <w:i/>
          </w:rPr>
          <w:t>info@endcorporalpunishment.org</w:t>
        </w:r>
      </w:hyperlink>
    </w:p>
    <w:p w:rsidR="00767639" w:rsidRPr="00E24EB5" w:rsidRDefault="003E73F1" w:rsidP="00E24EB5">
      <w:pPr>
        <w:jc w:val="center"/>
        <w:rPr>
          <w:i/>
          <w:color w:val="0000FF"/>
          <w:u w:val="single"/>
        </w:rPr>
      </w:pPr>
      <w:r>
        <w:rPr>
          <w:b/>
          <w:noProof/>
          <w:u w:val="single"/>
        </w:rPr>
        <w:pict>
          <v:shapetype id="_x0000_t202" coordsize="21600,21600" o:spt="202" path="m,l,21600r21600,l21600,xe">
            <v:stroke joinstyle="miter"/>
            <v:path gradientshapeok="t" o:connecttype="rect"/>
          </v:shapetype>
          <v:shape id="Text Box 2" o:spid="_x0000_s1027" type="#_x0000_t202" style="position:absolute;left:0;text-align:left;margin-left:0;margin-top:19.35pt;width:480.35pt;height:349.95pt;z-index:1;visibility:visible;mso-height-percent:200;mso-wrap-distance-left:9pt;mso-wrap-distance-top:0;mso-wrap-distance-right:9pt;mso-wrap-distance-bottom:0;mso-position-horizontal:center;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1C0859" w:rsidRPr="000D3716" w:rsidRDefault="00E24EB5" w:rsidP="001C0859">
                  <w:pPr>
                    <w:spacing w:after="120"/>
                    <w:rPr>
                      <w:b/>
                      <w:iCs/>
                      <w:sz w:val="28"/>
                      <w:szCs w:val="28"/>
                    </w:rPr>
                  </w:pPr>
                  <w:r w:rsidRPr="000D3716">
                    <w:rPr>
                      <w:b/>
                      <w:sz w:val="28"/>
                      <w:szCs w:val="28"/>
                    </w:rPr>
                    <w:t xml:space="preserve">This briefing describes the legality of corporal punishment of children in </w:t>
                  </w:r>
                  <w:r w:rsidR="00F16E50">
                    <w:rPr>
                      <w:b/>
                      <w:sz w:val="28"/>
                      <w:szCs w:val="28"/>
                    </w:rPr>
                    <w:t>Tuvalu</w:t>
                  </w:r>
                  <w:r w:rsidRPr="000D3716">
                    <w:rPr>
                      <w:b/>
                      <w:sz w:val="28"/>
                      <w:szCs w:val="28"/>
                    </w:rPr>
                    <w:t xml:space="preserve">. </w:t>
                  </w:r>
                  <w:r w:rsidR="001C0859" w:rsidRPr="000D3716">
                    <w:rPr>
                      <w:b/>
                      <w:sz w:val="28"/>
                      <w:szCs w:val="28"/>
                    </w:rPr>
                    <w:t>In light of the Committee’s General Comment No. 8 on “The right of the child to protection from corporal punishment and other cruel or degrading forms of punishment”</w:t>
                  </w:r>
                  <w:r w:rsidR="000D3716">
                    <w:rPr>
                      <w:b/>
                      <w:sz w:val="28"/>
                      <w:szCs w:val="28"/>
                    </w:rPr>
                    <w:t xml:space="preserve">, </w:t>
                  </w:r>
                  <w:r w:rsidR="00F16E50">
                    <w:rPr>
                      <w:b/>
                      <w:sz w:val="28"/>
                      <w:szCs w:val="28"/>
                    </w:rPr>
                    <w:t xml:space="preserve">the </w:t>
                  </w:r>
                  <w:r w:rsidR="00E105D0">
                    <w:rPr>
                      <w:b/>
                      <w:sz w:val="28"/>
                      <w:szCs w:val="28"/>
                    </w:rPr>
                    <w:t>recommendation</w:t>
                  </w:r>
                  <w:r w:rsidR="00F16E50">
                    <w:rPr>
                      <w:b/>
                      <w:sz w:val="28"/>
                      <w:szCs w:val="28"/>
                    </w:rPr>
                    <w:t>s</w:t>
                  </w:r>
                  <w:r w:rsidR="00E105D0">
                    <w:rPr>
                      <w:b/>
                      <w:sz w:val="28"/>
                      <w:szCs w:val="28"/>
                    </w:rPr>
                    <w:t xml:space="preserve"> </w:t>
                  </w:r>
                  <w:r w:rsidR="00F16E50">
                    <w:rPr>
                      <w:b/>
                      <w:sz w:val="28"/>
                      <w:szCs w:val="28"/>
                    </w:rPr>
                    <w:t>on the issue by the Committee on the Elimination of Discrimination Against Women and during the UPR (accepted by the Government)</w:t>
                  </w:r>
                  <w:r w:rsidR="008B273F">
                    <w:rPr>
                      <w:b/>
                      <w:sz w:val="28"/>
                      <w:szCs w:val="28"/>
                    </w:rPr>
                    <w:t xml:space="preserve">, </w:t>
                  </w:r>
                  <w:r w:rsidR="001C0859" w:rsidRPr="000D3716">
                    <w:rPr>
                      <w:b/>
                      <w:sz w:val="28"/>
                      <w:szCs w:val="28"/>
                    </w:rPr>
                    <w:t>and the importance of eradicating this form of violence given by the UN Secretary General’s Study on Violence against Children, w</w:t>
                  </w:r>
                  <w:r w:rsidR="001C0859" w:rsidRPr="000D3716">
                    <w:rPr>
                      <w:b/>
                      <w:iCs/>
                      <w:sz w:val="28"/>
                      <w:szCs w:val="28"/>
                    </w:rPr>
                    <w:t xml:space="preserve">e hope the Committee </w:t>
                  </w:r>
                  <w:r w:rsidR="00F16E50">
                    <w:rPr>
                      <w:b/>
                      <w:iCs/>
                      <w:sz w:val="28"/>
                      <w:szCs w:val="28"/>
                    </w:rPr>
                    <w:t xml:space="preserve">on the Rights of the Child </w:t>
                  </w:r>
                  <w:r w:rsidR="001C0859" w:rsidRPr="000D3716">
                    <w:rPr>
                      <w:b/>
                      <w:iCs/>
                      <w:sz w:val="28"/>
                      <w:szCs w:val="28"/>
                    </w:rPr>
                    <w:t>will:</w:t>
                  </w:r>
                </w:p>
                <w:p w:rsidR="001C0859" w:rsidRPr="000D3716" w:rsidRDefault="001C0859" w:rsidP="001C0859">
                  <w:pPr>
                    <w:numPr>
                      <w:ilvl w:val="0"/>
                      <w:numId w:val="8"/>
                    </w:numPr>
                    <w:spacing w:after="120"/>
                    <w:rPr>
                      <w:b/>
                      <w:iCs/>
                      <w:sz w:val="28"/>
                      <w:szCs w:val="28"/>
                    </w:rPr>
                  </w:pPr>
                  <w:r w:rsidRPr="000D3716">
                    <w:rPr>
                      <w:b/>
                      <w:iCs/>
                      <w:sz w:val="28"/>
                      <w:szCs w:val="28"/>
                    </w:rPr>
                    <w:t xml:space="preserve">in its List of Issues for </w:t>
                  </w:r>
                  <w:r w:rsidR="00F16E50">
                    <w:rPr>
                      <w:b/>
                      <w:iCs/>
                      <w:sz w:val="28"/>
                      <w:szCs w:val="28"/>
                    </w:rPr>
                    <w:t>Tuvalu</w:t>
                  </w:r>
                  <w:r w:rsidR="000D3716" w:rsidRPr="000D3716">
                    <w:rPr>
                      <w:b/>
                      <w:iCs/>
                      <w:sz w:val="28"/>
                      <w:szCs w:val="28"/>
                    </w:rPr>
                    <w:t>, raise the issue of corporal punishment of children, in particular asking w</w:t>
                  </w:r>
                  <w:r w:rsidRPr="000D3716">
                    <w:rPr>
                      <w:b/>
                      <w:sz w:val="28"/>
                      <w:szCs w:val="28"/>
                    </w:rPr>
                    <w:t>hat measures have been taken to</w:t>
                  </w:r>
                  <w:r w:rsidR="00E105D0">
                    <w:rPr>
                      <w:b/>
                      <w:sz w:val="28"/>
                      <w:szCs w:val="28"/>
                    </w:rPr>
                    <w:t>wards explicitly prohibiting corporal punishment in the home and other settings</w:t>
                  </w:r>
                  <w:r w:rsidRPr="000D3716">
                    <w:rPr>
                      <w:b/>
                      <w:sz w:val="28"/>
                      <w:szCs w:val="28"/>
                    </w:rPr>
                    <w:t>?</w:t>
                  </w:r>
                </w:p>
                <w:p w:rsidR="00E24EB5" w:rsidRPr="00E105D0" w:rsidRDefault="000D3716" w:rsidP="000D3716">
                  <w:pPr>
                    <w:numPr>
                      <w:ilvl w:val="0"/>
                      <w:numId w:val="8"/>
                    </w:numPr>
                    <w:spacing w:after="120"/>
                    <w:rPr>
                      <w:sz w:val="28"/>
                      <w:szCs w:val="28"/>
                    </w:rPr>
                  </w:pPr>
                  <w:r w:rsidRPr="00E105D0">
                    <w:rPr>
                      <w:b/>
                      <w:iCs/>
                      <w:sz w:val="28"/>
                      <w:szCs w:val="28"/>
                    </w:rPr>
                    <w:t xml:space="preserve">in its concluding observations on </w:t>
                  </w:r>
                  <w:r w:rsidR="00F16E50">
                    <w:rPr>
                      <w:b/>
                      <w:iCs/>
                      <w:sz w:val="28"/>
                      <w:szCs w:val="28"/>
                    </w:rPr>
                    <w:t xml:space="preserve">Tuvalu’s initial </w:t>
                  </w:r>
                  <w:r w:rsidR="0056432B" w:rsidRPr="00E105D0">
                    <w:rPr>
                      <w:b/>
                      <w:iCs/>
                      <w:sz w:val="28"/>
                      <w:szCs w:val="28"/>
                    </w:rPr>
                    <w:t>report</w:t>
                  </w:r>
                  <w:r w:rsidR="008B273F" w:rsidRPr="00E105D0">
                    <w:rPr>
                      <w:b/>
                      <w:iCs/>
                      <w:sz w:val="28"/>
                      <w:szCs w:val="28"/>
                    </w:rPr>
                    <w:t>,</w:t>
                  </w:r>
                  <w:r w:rsidR="00EE7077" w:rsidRPr="00E105D0">
                    <w:rPr>
                      <w:b/>
                      <w:iCs/>
                      <w:sz w:val="28"/>
                      <w:szCs w:val="28"/>
                    </w:rPr>
                    <w:t xml:space="preserve"> </w:t>
                  </w:r>
                  <w:r w:rsidRPr="00E105D0">
                    <w:rPr>
                      <w:b/>
                      <w:iCs/>
                      <w:sz w:val="28"/>
                      <w:szCs w:val="28"/>
                    </w:rPr>
                    <w:t xml:space="preserve">recommend that legislation </w:t>
                  </w:r>
                  <w:r w:rsidR="006E6660" w:rsidRPr="00E105D0">
                    <w:rPr>
                      <w:b/>
                      <w:iCs/>
                      <w:sz w:val="28"/>
                      <w:szCs w:val="28"/>
                    </w:rPr>
                    <w:t xml:space="preserve">is </w:t>
                  </w:r>
                  <w:r w:rsidRPr="00E105D0">
                    <w:rPr>
                      <w:b/>
                      <w:iCs/>
                      <w:sz w:val="28"/>
                      <w:szCs w:val="28"/>
                    </w:rPr>
                    <w:t xml:space="preserve">enacted to </w:t>
                  </w:r>
                  <w:r w:rsidR="00E105D0" w:rsidRPr="00E105D0">
                    <w:rPr>
                      <w:b/>
                      <w:iCs/>
                      <w:sz w:val="28"/>
                      <w:szCs w:val="28"/>
                    </w:rPr>
                    <w:t xml:space="preserve">explicitly prohibit corporal punishment </w:t>
                  </w:r>
                  <w:r w:rsidRPr="00E105D0">
                    <w:rPr>
                      <w:b/>
                      <w:iCs/>
                      <w:sz w:val="28"/>
                      <w:szCs w:val="28"/>
                    </w:rPr>
                    <w:t xml:space="preserve">in all settings, including the home, as a matter of </w:t>
                  </w:r>
                  <w:r w:rsidR="001C0859" w:rsidRPr="00E105D0">
                    <w:rPr>
                      <w:b/>
                      <w:sz w:val="28"/>
                      <w:szCs w:val="28"/>
                    </w:rPr>
                    <w:t xml:space="preserve">urgency, and </w:t>
                  </w:r>
                  <w:r w:rsidRPr="00E105D0">
                    <w:rPr>
                      <w:b/>
                      <w:sz w:val="28"/>
                      <w:szCs w:val="28"/>
                    </w:rPr>
                    <w:t xml:space="preserve">that </w:t>
                  </w:r>
                  <w:r w:rsidR="001C0859" w:rsidRPr="00E105D0">
                    <w:rPr>
                      <w:b/>
                      <w:sz w:val="28"/>
                      <w:szCs w:val="28"/>
                    </w:rPr>
                    <w:t xml:space="preserve">prohibition </w:t>
                  </w:r>
                  <w:r w:rsidRPr="00E105D0">
                    <w:rPr>
                      <w:b/>
                      <w:sz w:val="28"/>
                      <w:szCs w:val="28"/>
                    </w:rPr>
                    <w:t xml:space="preserve">is enforced </w:t>
                  </w:r>
                  <w:r w:rsidR="001C0859" w:rsidRPr="00E105D0">
                    <w:rPr>
                      <w:b/>
                      <w:sz w:val="28"/>
                      <w:szCs w:val="28"/>
                    </w:rPr>
                    <w:t>through appropriate public education and professional training on positive, participatory and non-violent forms of education and childrearing.</w:t>
                  </w:r>
                </w:p>
              </w:txbxContent>
            </v:textbox>
            <w10:wrap type="topAndBottom"/>
          </v:shape>
        </w:pict>
      </w:r>
      <w:r w:rsidR="00767639" w:rsidRPr="00E24EB5">
        <w:rPr>
          <w:i/>
          <w:sz w:val="28"/>
          <w:szCs w:val="28"/>
        </w:rPr>
        <w:t xml:space="preserve"> </w:t>
      </w:r>
    </w:p>
    <w:p w:rsidR="00767639" w:rsidRDefault="00767639">
      <w:pPr>
        <w:spacing w:after="120"/>
        <w:jc w:val="center"/>
      </w:pPr>
    </w:p>
    <w:p w:rsidR="008B273F" w:rsidRPr="00F01BFF" w:rsidRDefault="008B273F" w:rsidP="005E7FE5">
      <w:pPr>
        <w:spacing w:after="120"/>
        <w:ind w:left="482" w:hanging="482"/>
        <w:rPr>
          <w:b/>
          <w:sz w:val="28"/>
          <w:szCs w:val="28"/>
        </w:rPr>
      </w:pPr>
      <w:r>
        <w:rPr>
          <w:b/>
          <w:sz w:val="28"/>
          <w:szCs w:val="28"/>
        </w:rPr>
        <w:t xml:space="preserve">1 </w:t>
      </w:r>
      <w:r w:rsidR="00815F37">
        <w:rPr>
          <w:b/>
          <w:sz w:val="28"/>
          <w:szCs w:val="28"/>
        </w:rPr>
        <w:t>Tuvalu</w:t>
      </w:r>
      <w:r>
        <w:rPr>
          <w:b/>
          <w:sz w:val="28"/>
          <w:szCs w:val="28"/>
        </w:rPr>
        <w:t>’s</w:t>
      </w:r>
      <w:r w:rsidRPr="00F01BFF">
        <w:rPr>
          <w:b/>
          <w:sz w:val="28"/>
          <w:szCs w:val="28"/>
        </w:rPr>
        <w:t xml:space="preserve"> report to the Committee</w:t>
      </w:r>
      <w:r>
        <w:rPr>
          <w:b/>
          <w:sz w:val="28"/>
          <w:szCs w:val="28"/>
        </w:rPr>
        <w:t xml:space="preserve"> on the Rights of the Child</w:t>
      </w:r>
    </w:p>
    <w:p w:rsidR="00F16E50" w:rsidRDefault="008B273F" w:rsidP="005E7FE5">
      <w:pPr>
        <w:pStyle w:val="Header"/>
        <w:spacing w:after="120"/>
        <w:ind w:left="482" w:hanging="482"/>
        <w:rPr>
          <w:sz w:val="26"/>
          <w:szCs w:val="26"/>
        </w:rPr>
      </w:pPr>
      <w:r>
        <w:rPr>
          <w:sz w:val="26"/>
          <w:szCs w:val="26"/>
        </w:rPr>
        <w:t xml:space="preserve">1.1 </w:t>
      </w:r>
      <w:r w:rsidRPr="00483F29">
        <w:rPr>
          <w:sz w:val="26"/>
          <w:szCs w:val="26"/>
        </w:rPr>
        <w:t xml:space="preserve">The </w:t>
      </w:r>
      <w:r w:rsidR="00815F37">
        <w:rPr>
          <w:sz w:val="26"/>
          <w:szCs w:val="26"/>
        </w:rPr>
        <w:t xml:space="preserve">initial </w:t>
      </w:r>
      <w:r w:rsidRPr="00483F29">
        <w:rPr>
          <w:sz w:val="26"/>
          <w:szCs w:val="26"/>
        </w:rPr>
        <w:t xml:space="preserve">report to the Committee on </w:t>
      </w:r>
      <w:r>
        <w:rPr>
          <w:sz w:val="26"/>
          <w:szCs w:val="26"/>
        </w:rPr>
        <w:t>the Rights of the Child</w:t>
      </w:r>
      <w:r w:rsidR="00F16E50">
        <w:rPr>
          <w:sz w:val="26"/>
          <w:szCs w:val="26"/>
        </w:rPr>
        <w:t xml:space="preserve"> (CRC)</w:t>
      </w:r>
      <w:r w:rsidRPr="00483F29">
        <w:rPr>
          <w:sz w:val="26"/>
          <w:szCs w:val="26"/>
        </w:rPr>
        <w:t xml:space="preserve"> </w:t>
      </w:r>
      <w:r w:rsidR="00815F37">
        <w:rPr>
          <w:sz w:val="26"/>
          <w:szCs w:val="26"/>
        </w:rPr>
        <w:t>provides detailed information on legislation relating to corporal punishment of children in Tuvalu.</w:t>
      </w:r>
      <w:r w:rsidR="00815F37">
        <w:rPr>
          <w:rStyle w:val="FootnoteReference"/>
          <w:sz w:val="26"/>
          <w:szCs w:val="26"/>
        </w:rPr>
        <w:footnoteReference w:id="1"/>
      </w:r>
      <w:r w:rsidR="00126044">
        <w:rPr>
          <w:sz w:val="26"/>
          <w:szCs w:val="26"/>
        </w:rPr>
        <w:t xml:space="preserve"> This</w:t>
      </w:r>
      <w:r w:rsidR="00815F37">
        <w:rPr>
          <w:sz w:val="26"/>
          <w:szCs w:val="26"/>
        </w:rPr>
        <w:t xml:space="preserve"> information concurs with</w:t>
      </w:r>
      <w:r w:rsidR="00126044">
        <w:rPr>
          <w:sz w:val="26"/>
          <w:szCs w:val="26"/>
        </w:rPr>
        <w:t xml:space="preserve"> the Global Initiative’s</w:t>
      </w:r>
      <w:r w:rsidR="00815F37">
        <w:rPr>
          <w:sz w:val="26"/>
          <w:szCs w:val="26"/>
        </w:rPr>
        <w:t xml:space="preserve"> legal analysis</w:t>
      </w:r>
      <w:r w:rsidR="00126044">
        <w:rPr>
          <w:sz w:val="26"/>
          <w:szCs w:val="26"/>
        </w:rPr>
        <w:t xml:space="preserve"> as</w:t>
      </w:r>
      <w:r w:rsidR="00815F37">
        <w:rPr>
          <w:sz w:val="26"/>
          <w:szCs w:val="26"/>
        </w:rPr>
        <w:t xml:space="preserve"> set out below</w:t>
      </w:r>
      <w:r w:rsidR="00F16E50">
        <w:rPr>
          <w:sz w:val="26"/>
          <w:szCs w:val="26"/>
        </w:rPr>
        <w:t xml:space="preserve"> (section 2)</w:t>
      </w:r>
      <w:r w:rsidR="00815F37">
        <w:rPr>
          <w:sz w:val="26"/>
          <w:szCs w:val="26"/>
        </w:rPr>
        <w:t>. We note that</w:t>
      </w:r>
      <w:r w:rsidR="00F16E50">
        <w:rPr>
          <w:sz w:val="26"/>
          <w:szCs w:val="26"/>
        </w:rPr>
        <w:t xml:space="preserve"> despite the Government’s acceptance of the UPR recommendation to eliminate corporal punishment </w:t>
      </w:r>
      <w:r w:rsidR="00126044">
        <w:rPr>
          <w:sz w:val="26"/>
          <w:szCs w:val="26"/>
        </w:rPr>
        <w:t xml:space="preserve">and its comments made during the review </w:t>
      </w:r>
      <w:r w:rsidR="00F16E50">
        <w:rPr>
          <w:sz w:val="26"/>
          <w:szCs w:val="26"/>
        </w:rPr>
        <w:t>(see below, section 3), there is no indication in the report to the CRC of any mov</w:t>
      </w:r>
      <w:r w:rsidR="00126044">
        <w:rPr>
          <w:sz w:val="26"/>
          <w:szCs w:val="26"/>
        </w:rPr>
        <w:t>es towards prohibition or of a</w:t>
      </w:r>
      <w:r w:rsidR="00F16E50">
        <w:rPr>
          <w:sz w:val="26"/>
          <w:szCs w:val="26"/>
        </w:rPr>
        <w:t xml:space="preserve"> commitment to law reform.</w:t>
      </w:r>
    </w:p>
    <w:p w:rsidR="008B273F" w:rsidRPr="00F01BFF" w:rsidRDefault="008B273F" w:rsidP="00F16E50">
      <w:pPr>
        <w:spacing w:after="120"/>
        <w:ind w:left="482" w:hanging="482"/>
        <w:rPr>
          <w:sz w:val="28"/>
          <w:szCs w:val="28"/>
        </w:rPr>
      </w:pPr>
      <w:r>
        <w:rPr>
          <w:b/>
          <w:sz w:val="28"/>
          <w:szCs w:val="28"/>
        </w:rPr>
        <w:lastRenderedPageBreak/>
        <w:t>2 The legality of c</w:t>
      </w:r>
      <w:r w:rsidRPr="00F01BFF">
        <w:rPr>
          <w:b/>
          <w:sz w:val="28"/>
          <w:szCs w:val="28"/>
        </w:rPr>
        <w:t xml:space="preserve">orporal punishment of children in </w:t>
      </w:r>
      <w:r w:rsidR="003E479B">
        <w:rPr>
          <w:b/>
          <w:sz w:val="28"/>
          <w:szCs w:val="28"/>
        </w:rPr>
        <w:t>Tuvalu</w:t>
      </w:r>
    </w:p>
    <w:p w:rsidR="002E70F4" w:rsidRPr="00F16E50" w:rsidRDefault="005E7FE5" w:rsidP="00F16E50">
      <w:pPr>
        <w:spacing w:after="120"/>
        <w:ind w:left="482" w:hanging="482"/>
        <w:rPr>
          <w:sz w:val="26"/>
          <w:szCs w:val="26"/>
        </w:rPr>
      </w:pPr>
      <w:r w:rsidRPr="00F16E50">
        <w:rPr>
          <w:sz w:val="26"/>
          <w:szCs w:val="26"/>
        </w:rPr>
        <w:t>2</w:t>
      </w:r>
      <w:r w:rsidR="00E105D0" w:rsidRPr="00F16E50">
        <w:rPr>
          <w:sz w:val="26"/>
          <w:szCs w:val="26"/>
        </w:rPr>
        <w:t xml:space="preserve">.1 </w:t>
      </w:r>
      <w:r w:rsidR="00E105D0" w:rsidRPr="00F16E50">
        <w:rPr>
          <w:i/>
          <w:sz w:val="26"/>
          <w:szCs w:val="26"/>
        </w:rPr>
        <w:t>Summary:</w:t>
      </w:r>
      <w:r w:rsidR="002E70F4" w:rsidRPr="00F16E50">
        <w:rPr>
          <w:sz w:val="26"/>
          <w:szCs w:val="26"/>
        </w:rPr>
        <w:t xml:space="preserve"> </w:t>
      </w:r>
      <w:r w:rsidR="00F16E50" w:rsidRPr="00F16E50">
        <w:rPr>
          <w:sz w:val="26"/>
          <w:szCs w:val="26"/>
        </w:rPr>
        <w:t>In Tuvalu, corporal punishment is lawful in all settings – the home, schools, penal institutions, the majority of care settings and as a sentence of the Island Courts.</w:t>
      </w:r>
    </w:p>
    <w:p w:rsidR="00F16E50" w:rsidRPr="00F16E50" w:rsidRDefault="00F16E50" w:rsidP="00F16E50">
      <w:pPr>
        <w:spacing w:after="120"/>
        <w:ind w:left="482" w:hanging="482"/>
        <w:rPr>
          <w:rFonts w:eastAsia="Calibri"/>
          <w:color w:val="000000"/>
          <w:sz w:val="26"/>
          <w:szCs w:val="26"/>
        </w:rPr>
      </w:pPr>
      <w:r w:rsidRPr="00F16E50">
        <w:rPr>
          <w:sz w:val="26"/>
          <w:szCs w:val="26"/>
        </w:rPr>
        <w:t xml:space="preserve">2.2 </w:t>
      </w:r>
      <w:r w:rsidRPr="00F16E50">
        <w:rPr>
          <w:i/>
          <w:sz w:val="26"/>
          <w:szCs w:val="26"/>
        </w:rPr>
        <w:t>Home (</w:t>
      </w:r>
      <w:r w:rsidRPr="00F16E50">
        <w:rPr>
          <w:i/>
          <w:sz w:val="26"/>
          <w:szCs w:val="26"/>
          <w:u w:val="single"/>
        </w:rPr>
        <w:t>lawful</w:t>
      </w:r>
      <w:r w:rsidRPr="00F16E50">
        <w:rPr>
          <w:i/>
          <w:sz w:val="26"/>
          <w:szCs w:val="26"/>
        </w:rPr>
        <w:t>):</w:t>
      </w:r>
      <w:r w:rsidRPr="00F16E50">
        <w:rPr>
          <w:sz w:val="26"/>
          <w:szCs w:val="26"/>
        </w:rPr>
        <w:t xml:space="preserve"> </w:t>
      </w:r>
      <w:r w:rsidR="00815F37" w:rsidRPr="00F16E50">
        <w:rPr>
          <w:rFonts w:eastAsia="Calibri"/>
          <w:sz w:val="26"/>
          <w:szCs w:val="26"/>
        </w:rPr>
        <w:t>The maintenance of family discipline is one of the principles of the Constitution (principle 4): “Amongst the values that the people of Tuvalu seek to maintain are their traditional forms of communities, the strength and support of the family and family discipline.” Cruelty to children is addressed in article 226 of the Penal Code, but this also states: “</w:t>
      </w:r>
      <w:r w:rsidR="00815F37" w:rsidRPr="00F16E50">
        <w:rPr>
          <w:rFonts w:eastAsia="Calibri"/>
          <w:color w:val="000000"/>
          <w:sz w:val="26"/>
          <w:szCs w:val="26"/>
        </w:rPr>
        <w:t>Nothing in this section shall be construed as affecting the right of any parent, teacher, or other person, having the lawful control of a child or young person to administer reasonable punishment to him.”</w:t>
      </w:r>
      <w:r w:rsidRPr="00F16E50">
        <w:rPr>
          <w:rFonts w:eastAsia="Calibri"/>
          <w:color w:val="000000"/>
          <w:sz w:val="26"/>
          <w:szCs w:val="26"/>
        </w:rPr>
        <w:t xml:space="preserve"> </w:t>
      </w:r>
      <w:r w:rsidRPr="00F16E50">
        <w:rPr>
          <w:color w:val="000000"/>
          <w:sz w:val="26"/>
          <w:szCs w:val="26"/>
        </w:rPr>
        <w:t>Article 17(2) of the Constitution provides for a person under 18 to be detained “</w:t>
      </w:r>
      <w:r w:rsidRPr="00F16E50">
        <w:rPr>
          <w:sz w:val="26"/>
          <w:szCs w:val="26"/>
        </w:rPr>
        <w:t>in the reasonable exercise of the authority of a parent, teacher or guardian, or under the order of a court for the purpose of his education, welfare or proper discipline”. The Government has stated that this “envisages lawful corporal punishment”.</w:t>
      </w:r>
      <w:r w:rsidRPr="00F16E50">
        <w:rPr>
          <w:rStyle w:val="FootnoteReference"/>
          <w:sz w:val="26"/>
          <w:szCs w:val="26"/>
        </w:rPr>
        <w:footnoteReference w:id="2"/>
      </w:r>
    </w:p>
    <w:p w:rsidR="00815F37" w:rsidRPr="00F16E50" w:rsidRDefault="00F16E50" w:rsidP="00F16E50">
      <w:pPr>
        <w:spacing w:after="120"/>
        <w:ind w:left="482" w:hanging="482"/>
        <w:rPr>
          <w:rFonts w:eastAsia="Calibri"/>
          <w:color w:val="000000"/>
          <w:sz w:val="26"/>
          <w:szCs w:val="26"/>
        </w:rPr>
      </w:pPr>
      <w:r w:rsidRPr="00F16E50">
        <w:rPr>
          <w:sz w:val="26"/>
          <w:szCs w:val="26"/>
        </w:rPr>
        <w:t xml:space="preserve">2.3 </w:t>
      </w:r>
      <w:r w:rsidRPr="00F16E50">
        <w:rPr>
          <w:i/>
          <w:sz w:val="26"/>
          <w:szCs w:val="26"/>
        </w:rPr>
        <w:t>Schools (</w:t>
      </w:r>
      <w:r w:rsidRPr="00F16E50">
        <w:rPr>
          <w:i/>
          <w:sz w:val="26"/>
          <w:szCs w:val="26"/>
          <w:u w:val="single"/>
        </w:rPr>
        <w:t>lawful</w:t>
      </w:r>
      <w:r w:rsidRPr="00F16E50">
        <w:rPr>
          <w:i/>
          <w:sz w:val="26"/>
          <w:szCs w:val="26"/>
        </w:rPr>
        <w:t>):</w:t>
      </w:r>
      <w:r w:rsidRPr="00F16E50">
        <w:rPr>
          <w:sz w:val="26"/>
          <w:szCs w:val="26"/>
        </w:rPr>
        <w:t xml:space="preserve"> </w:t>
      </w:r>
      <w:r w:rsidRPr="00F16E50">
        <w:rPr>
          <w:rFonts w:eastAsia="Calibri"/>
          <w:sz w:val="26"/>
          <w:szCs w:val="26"/>
        </w:rPr>
        <w:t>A</w:t>
      </w:r>
      <w:r w:rsidR="00815F37" w:rsidRPr="00F16E50">
        <w:rPr>
          <w:rFonts w:eastAsia="Calibri"/>
          <w:sz w:val="26"/>
          <w:szCs w:val="26"/>
        </w:rPr>
        <w:t>rticle 29 of the Education Act (1976)</w:t>
      </w:r>
      <w:r w:rsidRPr="00F16E50">
        <w:rPr>
          <w:rFonts w:eastAsia="Calibri"/>
          <w:sz w:val="26"/>
          <w:szCs w:val="26"/>
        </w:rPr>
        <w:t xml:space="preserve"> states</w:t>
      </w:r>
      <w:r w:rsidR="00815F37" w:rsidRPr="00F16E50">
        <w:rPr>
          <w:rFonts w:eastAsia="Calibri"/>
          <w:sz w:val="26"/>
          <w:szCs w:val="26"/>
        </w:rPr>
        <w:t>: “(1) No teacher, other than a head-teacher, shall administer corporal punishment to any pupil. (2) If a head-teacher administers corporal punishment to any pupil, he shall record details of the punishment administered and the offence for which the corporal punishment was administered in a book to be kept at the school for that purpose. (3) The Minister may give directions for further controlling corporal punishment in schools.”</w:t>
      </w:r>
      <w:r w:rsidRPr="00F16E50">
        <w:rPr>
          <w:rFonts w:eastAsia="Calibri"/>
          <w:sz w:val="26"/>
          <w:szCs w:val="26"/>
        </w:rPr>
        <w:t xml:space="preserve"> </w:t>
      </w:r>
      <w:r w:rsidRPr="00F16E50">
        <w:rPr>
          <w:sz w:val="26"/>
          <w:szCs w:val="26"/>
        </w:rPr>
        <w:t xml:space="preserve">As at February 2012, no Ministerial directions on corporal punishment had been issued. </w:t>
      </w:r>
      <w:r w:rsidR="00815F37" w:rsidRPr="00F16E50">
        <w:rPr>
          <w:rFonts w:eastAsia="Calibri"/>
          <w:sz w:val="26"/>
          <w:szCs w:val="26"/>
        </w:rPr>
        <w:t>Article 226 of the Penal Code also applies (see above)</w:t>
      </w:r>
      <w:r w:rsidR="00815F37" w:rsidRPr="00F16E50">
        <w:rPr>
          <w:rFonts w:eastAsia="Calibri"/>
          <w:color w:val="000000"/>
          <w:sz w:val="26"/>
          <w:szCs w:val="26"/>
        </w:rPr>
        <w:t>.</w:t>
      </w:r>
    </w:p>
    <w:p w:rsidR="00815F37" w:rsidRPr="00F16E50" w:rsidRDefault="00F16E50" w:rsidP="00F16E50">
      <w:pPr>
        <w:spacing w:after="120"/>
        <w:ind w:left="482" w:hanging="482"/>
        <w:rPr>
          <w:sz w:val="26"/>
          <w:szCs w:val="26"/>
        </w:rPr>
      </w:pPr>
      <w:r w:rsidRPr="00F16E50">
        <w:rPr>
          <w:sz w:val="26"/>
          <w:szCs w:val="26"/>
        </w:rPr>
        <w:t xml:space="preserve">2.4 </w:t>
      </w:r>
      <w:r w:rsidRPr="00F16E50">
        <w:rPr>
          <w:i/>
          <w:sz w:val="26"/>
          <w:szCs w:val="26"/>
        </w:rPr>
        <w:t>Penal system – sentence for crime (</w:t>
      </w:r>
      <w:r w:rsidRPr="00F16E50">
        <w:rPr>
          <w:i/>
          <w:sz w:val="26"/>
          <w:szCs w:val="26"/>
          <w:u w:val="single"/>
        </w:rPr>
        <w:t>lawful</w:t>
      </w:r>
      <w:r w:rsidRPr="00F16E50">
        <w:rPr>
          <w:i/>
          <w:sz w:val="26"/>
          <w:szCs w:val="26"/>
        </w:rPr>
        <w:t xml:space="preserve">): </w:t>
      </w:r>
      <w:r w:rsidRPr="00F16E50">
        <w:rPr>
          <w:rFonts w:eastAsia="Calibri"/>
          <w:sz w:val="26"/>
          <w:szCs w:val="26"/>
        </w:rPr>
        <w:t xml:space="preserve">Judicial corporal punishment is not provided for in </w:t>
      </w:r>
      <w:r w:rsidR="00815F37" w:rsidRPr="00F16E50">
        <w:rPr>
          <w:rFonts w:eastAsia="Calibri"/>
          <w:sz w:val="26"/>
          <w:szCs w:val="26"/>
        </w:rPr>
        <w:t xml:space="preserve">the Penal Code, the Criminal Procedure Code, the Magistrates Court Act or the Superior Courts Act, but </w:t>
      </w:r>
      <w:r w:rsidRPr="00F16E50">
        <w:rPr>
          <w:sz w:val="26"/>
          <w:szCs w:val="26"/>
        </w:rPr>
        <w:t xml:space="preserve">a male child or young person may be caned under article 8(8) of the Island Courts Act: “In lieu of any other sentence which an island court may lawfully impose on any male child [under 14] or male young person [aged 14-16], the provisions of section 6(1) [providing for imprisonment and fines] to the contrary notwithstanding, it may order his parent or guardian to cane him with a specific number of strokes of a cane not exceeding, in the case of a child, 6 strokes, and in the case of a young person, 10 strokes; and any strokes so ordered shall be administered in accordance with such regulations as may, for the time being, be in force and in the presence of a member of the island court.” Failure to carry out the order is an offence under article 8(9): “Any parent or guardian who without lawful justification or excuse fails to obey an order given under subsection (8) shall commit an offence </w:t>
      </w:r>
      <w:proofErr w:type="spellStart"/>
      <w:r w:rsidRPr="00F16E50">
        <w:rPr>
          <w:sz w:val="26"/>
          <w:szCs w:val="26"/>
        </w:rPr>
        <w:t>triable</w:t>
      </w:r>
      <w:proofErr w:type="spellEnd"/>
      <w:r w:rsidRPr="00F16E50">
        <w:rPr>
          <w:sz w:val="26"/>
          <w:szCs w:val="26"/>
        </w:rPr>
        <w:t xml:space="preserve"> summarily by an island court, or other court of competent jurisdiction, and shall be liable to a fine of $10.”</w:t>
      </w:r>
    </w:p>
    <w:p w:rsidR="00815F37" w:rsidRPr="00F16E50" w:rsidRDefault="00F16E50" w:rsidP="00F16E50">
      <w:pPr>
        <w:spacing w:after="120"/>
        <w:ind w:left="482" w:hanging="482"/>
        <w:rPr>
          <w:rFonts w:eastAsia="Calibri"/>
          <w:color w:val="000000"/>
          <w:sz w:val="26"/>
          <w:szCs w:val="26"/>
          <w:u w:val="single"/>
        </w:rPr>
      </w:pPr>
      <w:r w:rsidRPr="00F16E50">
        <w:rPr>
          <w:sz w:val="26"/>
          <w:szCs w:val="26"/>
        </w:rPr>
        <w:t xml:space="preserve">2.5 </w:t>
      </w:r>
      <w:r w:rsidRPr="00F16E50">
        <w:rPr>
          <w:i/>
          <w:sz w:val="26"/>
          <w:szCs w:val="26"/>
        </w:rPr>
        <w:t>Penal system – disciplinary measure in penal institutions (</w:t>
      </w:r>
      <w:r w:rsidRPr="00F16E50">
        <w:rPr>
          <w:i/>
          <w:sz w:val="26"/>
          <w:szCs w:val="26"/>
          <w:u w:val="single"/>
        </w:rPr>
        <w:t>lawful</w:t>
      </w:r>
      <w:r w:rsidRPr="00F16E50">
        <w:rPr>
          <w:i/>
          <w:sz w:val="26"/>
          <w:szCs w:val="26"/>
        </w:rPr>
        <w:t xml:space="preserve">): </w:t>
      </w:r>
      <w:r w:rsidR="00815F37" w:rsidRPr="00F16E50">
        <w:rPr>
          <w:rFonts w:eastAsia="Calibri"/>
          <w:sz w:val="26"/>
          <w:szCs w:val="26"/>
        </w:rPr>
        <w:t xml:space="preserve">There is no provision for corporal punishment in the Prisons Act (1985), but it is not explicitly prohibited and article 226 of the Penal Code </w:t>
      </w:r>
      <w:r w:rsidR="003E479B">
        <w:rPr>
          <w:rFonts w:eastAsia="Calibri"/>
          <w:sz w:val="26"/>
          <w:szCs w:val="26"/>
        </w:rPr>
        <w:t xml:space="preserve">(see above) </w:t>
      </w:r>
      <w:r w:rsidR="00815F37" w:rsidRPr="00F16E50">
        <w:rPr>
          <w:rFonts w:eastAsia="Calibri"/>
          <w:sz w:val="26"/>
          <w:szCs w:val="26"/>
        </w:rPr>
        <w:t>presumably applies.</w:t>
      </w:r>
      <w:r w:rsidRPr="00F16E50">
        <w:rPr>
          <w:rFonts w:eastAsia="Calibri"/>
          <w:sz w:val="26"/>
          <w:szCs w:val="26"/>
        </w:rPr>
        <w:t xml:space="preserve"> </w:t>
      </w:r>
      <w:r w:rsidRPr="00F16E50">
        <w:rPr>
          <w:sz w:val="26"/>
          <w:szCs w:val="26"/>
        </w:rPr>
        <w:t>It was anticipated that amendments to prison regulations following a review of police and related legislation in 2009 would include explicit prohibition of corporal punishment, but we have no further information.</w:t>
      </w:r>
    </w:p>
    <w:p w:rsidR="00F16E50" w:rsidRPr="00F16E50" w:rsidRDefault="00815F37" w:rsidP="00F16E50">
      <w:pPr>
        <w:spacing w:after="120"/>
        <w:ind w:left="482" w:hanging="482"/>
        <w:rPr>
          <w:sz w:val="26"/>
          <w:szCs w:val="26"/>
        </w:rPr>
      </w:pPr>
      <w:r w:rsidRPr="00F16E50">
        <w:rPr>
          <w:rFonts w:eastAsia="Calibri"/>
          <w:sz w:val="26"/>
          <w:szCs w:val="26"/>
        </w:rPr>
        <w:t>2.</w:t>
      </w:r>
      <w:r w:rsidR="00F16E50" w:rsidRPr="00F16E50">
        <w:rPr>
          <w:rFonts w:eastAsia="Calibri"/>
          <w:sz w:val="26"/>
          <w:szCs w:val="26"/>
        </w:rPr>
        <w:t xml:space="preserve">6 </w:t>
      </w:r>
      <w:r w:rsidR="00F16E50" w:rsidRPr="00F16E50">
        <w:rPr>
          <w:rFonts w:eastAsia="Calibri"/>
          <w:i/>
          <w:sz w:val="26"/>
          <w:szCs w:val="26"/>
        </w:rPr>
        <w:t>Alternative care settings (</w:t>
      </w:r>
      <w:r w:rsidR="00F16E50" w:rsidRPr="00F16E50">
        <w:rPr>
          <w:rFonts w:eastAsia="Calibri"/>
          <w:i/>
          <w:sz w:val="26"/>
          <w:szCs w:val="26"/>
          <w:u w:val="single"/>
        </w:rPr>
        <w:t>partial prohibition</w:t>
      </w:r>
      <w:r w:rsidR="00F16E50" w:rsidRPr="00F16E50">
        <w:rPr>
          <w:rFonts w:eastAsia="Calibri"/>
          <w:i/>
          <w:sz w:val="26"/>
          <w:szCs w:val="26"/>
        </w:rPr>
        <w:t xml:space="preserve">): </w:t>
      </w:r>
      <w:r w:rsidR="00F16E50" w:rsidRPr="00F16E50">
        <w:rPr>
          <w:sz w:val="26"/>
          <w:szCs w:val="26"/>
        </w:rPr>
        <w:t xml:space="preserve">Corporal punishment is lawful in alternative care settings under article 226 of the Penal Code (see above). However, in the case of </w:t>
      </w:r>
      <w:r w:rsidR="00F16E50" w:rsidRPr="00F16E50">
        <w:rPr>
          <w:sz w:val="26"/>
          <w:szCs w:val="26"/>
        </w:rPr>
        <w:lastRenderedPageBreak/>
        <w:t>persons in the mental health wing of the hospital, the Mental Health Wing Management Regulations</w:t>
      </w:r>
      <w:r w:rsidR="003E479B">
        <w:rPr>
          <w:sz w:val="26"/>
          <w:szCs w:val="26"/>
        </w:rPr>
        <w:t xml:space="preserve"> pursuant to </w:t>
      </w:r>
      <w:r w:rsidR="00F16E50" w:rsidRPr="00F16E50">
        <w:rPr>
          <w:sz w:val="26"/>
          <w:szCs w:val="26"/>
        </w:rPr>
        <w:t>the Mental Treatment Act (1927) state that attendants “shall not, on any account, punish patients … [and] shall not use harsh, or intemperate language to the patients, whatever the language or the conduct of the patients may be” (regulation 25) and “no patient shall be struck” (regulation 27).</w:t>
      </w:r>
    </w:p>
    <w:p w:rsidR="000C2E75" w:rsidRPr="00F16E50" w:rsidRDefault="000C2E75" w:rsidP="00F16E50">
      <w:pPr>
        <w:spacing w:after="120"/>
        <w:ind w:left="482" w:hanging="482"/>
        <w:rPr>
          <w:b/>
          <w:sz w:val="26"/>
          <w:szCs w:val="26"/>
        </w:rPr>
      </w:pPr>
    </w:p>
    <w:p w:rsidR="008B273F" w:rsidRPr="00B902F0" w:rsidRDefault="008B273F" w:rsidP="00F16E50">
      <w:pPr>
        <w:spacing w:after="120"/>
        <w:ind w:left="482" w:hanging="482"/>
        <w:rPr>
          <w:b/>
          <w:sz w:val="28"/>
          <w:szCs w:val="28"/>
        </w:rPr>
      </w:pPr>
      <w:r>
        <w:rPr>
          <w:b/>
          <w:sz w:val="28"/>
          <w:szCs w:val="28"/>
        </w:rPr>
        <w:t xml:space="preserve">3 </w:t>
      </w:r>
      <w:r w:rsidRPr="00B902F0">
        <w:rPr>
          <w:b/>
          <w:sz w:val="28"/>
          <w:szCs w:val="28"/>
        </w:rPr>
        <w:t>Recommendations by human rights treaty bodies</w:t>
      </w:r>
      <w:r w:rsidR="003E479B">
        <w:rPr>
          <w:b/>
          <w:sz w:val="28"/>
          <w:szCs w:val="28"/>
        </w:rPr>
        <w:t xml:space="preserve"> and during the UPR</w:t>
      </w:r>
      <w:bookmarkStart w:id="0" w:name="_GoBack"/>
      <w:bookmarkEnd w:id="0"/>
    </w:p>
    <w:p w:rsidR="00815F37" w:rsidRPr="00F16E50" w:rsidRDefault="00815F37" w:rsidP="00F16E50">
      <w:pPr>
        <w:spacing w:after="120"/>
        <w:ind w:left="482" w:hanging="482"/>
        <w:rPr>
          <w:sz w:val="26"/>
          <w:szCs w:val="26"/>
        </w:rPr>
      </w:pPr>
      <w:r w:rsidRPr="00F16E50">
        <w:rPr>
          <w:sz w:val="26"/>
          <w:szCs w:val="26"/>
        </w:rPr>
        <w:t xml:space="preserve">3.1 </w:t>
      </w:r>
      <w:r w:rsidR="00F16E50" w:rsidRPr="00F16E50">
        <w:rPr>
          <w:i/>
          <w:sz w:val="26"/>
          <w:szCs w:val="26"/>
        </w:rPr>
        <w:t>CEDAW:</w:t>
      </w:r>
      <w:r w:rsidR="00F16E50">
        <w:rPr>
          <w:sz w:val="26"/>
          <w:szCs w:val="26"/>
        </w:rPr>
        <w:t xml:space="preserve"> </w:t>
      </w:r>
      <w:r w:rsidRPr="00F16E50">
        <w:rPr>
          <w:sz w:val="26"/>
          <w:szCs w:val="26"/>
        </w:rPr>
        <w:t>In its concluding observations on the state party’s initial/second report in 2006, the Committee on the Elimination of Discrimination Against Women expressed concern at the legality of corporal punishment in schools under article 29 of the Education Act and article 226 of the Penal Code and recommended that it be prohibited.</w:t>
      </w:r>
      <w:r w:rsidRPr="00F16E50">
        <w:rPr>
          <w:rStyle w:val="FootnoteReference"/>
          <w:sz w:val="26"/>
          <w:szCs w:val="26"/>
        </w:rPr>
        <w:footnoteReference w:id="3"/>
      </w:r>
    </w:p>
    <w:p w:rsidR="00815F37" w:rsidRPr="00F16E50" w:rsidRDefault="00F16E50" w:rsidP="00F16E50">
      <w:pPr>
        <w:spacing w:after="120"/>
        <w:ind w:left="482" w:hanging="482"/>
        <w:rPr>
          <w:rFonts w:eastAsia="Calibri"/>
          <w:sz w:val="26"/>
          <w:szCs w:val="26"/>
        </w:rPr>
      </w:pPr>
      <w:r>
        <w:rPr>
          <w:rFonts w:eastAsia="Calibri"/>
          <w:sz w:val="26"/>
          <w:szCs w:val="26"/>
        </w:rPr>
        <w:t xml:space="preserve">3.2 </w:t>
      </w:r>
      <w:r w:rsidRPr="00F16E50">
        <w:rPr>
          <w:rFonts w:eastAsia="Calibri"/>
          <w:i/>
          <w:sz w:val="26"/>
          <w:szCs w:val="26"/>
        </w:rPr>
        <w:t>UPR:</w:t>
      </w:r>
      <w:r>
        <w:rPr>
          <w:rFonts w:eastAsia="Calibri"/>
          <w:sz w:val="26"/>
          <w:szCs w:val="26"/>
        </w:rPr>
        <w:t xml:space="preserve"> </w:t>
      </w:r>
      <w:r w:rsidR="00815F37" w:rsidRPr="00F16E50">
        <w:rPr>
          <w:rFonts w:eastAsia="Calibri"/>
          <w:sz w:val="26"/>
          <w:szCs w:val="26"/>
        </w:rPr>
        <w:t xml:space="preserve">Tuvalu was examined in the first cycle of the Universal Periodic Review in 2008 (session 3). </w:t>
      </w:r>
      <w:r w:rsidRPr="00F16E50">
        <w:rPr>
          <w:rFonts w:eastAsia="Calibri"/>
          <w:sz w:val="26"/>
          <w:szCs w:val="26"/>
        </w:rPr>
        <w:t>The Government accepted the recommendation to “reform the Penal Code to cover offences such as sexual abuse against minors and to eliminate corporal punishment”.</w:t>
      </w:r>
      <w:r w:rsidRPr="00F16E50">
        <w:rPr>
          <w:rStyle w:val="FootnoteReference"/>
          <w:rFonts w:eastAsia="Calibri"/>
          <w:sz w:val="26"/>
          <w:szCs w:val="26"/>
        </w:rPr>
        <w:footnoteReference w:id="4"/>
      </w:r>
      <w:r w:rsidRPr="00F16E50">
        <w:rPr>
          <w:rFonts w:eastAsia="Calibri"/>
          <w:sz w:val="26"/>
          <w:szCs w:val="26"/>
        </w:rPr>
        <w:t xml:space="preserve"> </w:t>
      </w:r>
      <w:r w:rsidR="00815F37" w:rsidRPr="00F16E50">
        <w:rPr>
          <w:rFonts w:eastAsia="Calibri"/>
          <w:sz w:val="26"/>
          <w:szCs w:val="26"/>
        </w:rPr>
        <w:t xml:space="preserve">During the review, the Government </w:t>
      </w:r>
      <w:r w:rsidRPr="00F16E50">
        <w:rPr>
          <w:rFonts w:eastAsia="Calibri"/>
          <w:sz w:val="26"/>
          <w:szCs w:val="26"/>
        </w:rPr>
        <w:t xml:space="preserve">reported </w:t>
      </w:r>
      <w:r w:rsidR="00815F37" w:rsidRPr="00F16E50">
        <w:rPr>
          <w:rFonts w:eastAsia="Calibri"/>
          <w:sz w:val="26"/>
          <w:szCs w:val="26"/>
        </w:rPr>
        <w:t>that corporal punishment was being addressed as part of efforts to harmonise domestic laws with international human rights standards; the Government was raising awareness on the issue and was committed to further consultation with regard to law reform.</w:t>
      </w:r>
      <w:r w:rsidR="00815F37" w:rsidRPr="00F16E50">
        <w:rPr>
          <w:rStyle w:val="FootnoteReference"/>
          <w:rFonts w:eastAsia="Calibri"/>
          <w:sz w:val="26"/>
          <w:szCs w:val="26"/>
        </w:rPr>
        <w:footnoteReference w:id="5"/>
      </w:r>
    </w:p>
    <w:p w:rsidR="008B273F" w:rsidRPr="00F16E50" w:rsidRDefault="008B273F" w:rsidP="00F16E50">
      <w:pPr>
        <w:tabs>
          <w:tab w:val="left" w:pos="8244"/>
          <w:tab w:val="left" w:pos="9160"/>
          <w:tab w:val="left" w:pos="10076"/>
          <w:tab w:val="left" w:pos="10992"/>
          <w:tab w:val="left" w:pos="11908"/>
          <w:tab w:val="left" w:pos="12824"/>
          <w:tab w:val="left" w:pos="13740"/>
          <w:tab w:val="left" w:pos="14656"/>
        </w:tabs>
        <w:spacing w:after="120"/>
        <w:ind w:left="482" w:hanging="482"/>
        <w:rPr>
          <w:i/>
          <w:sz w:val="26"/>
          <w:szCs w:val="26"/>
        </w:rPr>
      </w:pPr>
    </w:p>
    <w:p w:rsidR="00C901EC" w:rsidRDefault="000622FD" w:rsidP="001C0859">
      <w:pPr>
        <w:tabs>
          <w:tab w:val="left" w:pos="8244"/>
          <w:tab w:val="left" w:pos="9160"/>
          <w:tab w:val="left" w:pos="10076"/>
          <w:tab w:val="left" w:pos="10992"/>
          <w:tab w:val="left" w:pos="11908"/>
          <w:tab w:val="left" w:pos="12824"/>
          <w:tab w:val="left" w:pos="13740"/>
          <w:tab w:val="left" w:pos="14656"/>
        </w:tabs>
        <w:rPr>
          <w:i/>
        </w:rPr>
      </w:pPr>
      <w:r>
        <w:rPr>
          <w:i/>
        </w:rPr>
        <w:t>B</w:t>
      </w:r>
      <w:r w:rsidR="00C901EC">
        <w:rPr>
          <w:i/>
        </w:rPr>
        <w:t>riefing prepared</w:t>
      </w:r>
      <w:r w:rsidR="001C0859">
        <w:rPr>
          <w:i/>
        </w:rPr>
        <w:t xml:space="preserve"> by the Global Initiative to End All Corporal Punishment of Children</w:t>
      </w:r>
    </w:p>
    <w:p w:rsidR="001C0859" w:rsidRDefault="003E73F1" w:rsidP="001C0859">
      <w:pPr>
        <w:tabs>
          <w:tab w:val="left" w:pos="8244"/>
          <w:tab w:val="left" w:pos="9160"/>
          <w:tab w:val="left" w:pos="10076"/>
          <w:tab w:val="left" w:pos="10992"/>
          <w:tab w:val="left" w:pos="11908"/>
          <w:tab w:val="left" w:pos="12824"/>
          <w:tab w:val="left" w:pos="13740"/>
          <w:tab w:val="left" w:pos="14656"/>
        </w:tabs>
        <w:rPr>
          <w:i/>
        </w:rPr>
      </w:pPr>
      <w:hyperlink r:id="rId11" w:history="1">
        <w:r w:rsidR="001C0859" w:rsidRPr="00572F5B">
          <w:rPr>
            <w:rStyle w:val="Hyperlink"/>
            <w:i/>
          </w:rPr>
          <w:t>www.endcorporalpunishment.org</w:t>
        </w:r>
      </w:hyperlink>
      <w:r w:rsidR="001C0859">
        <w:rPr>
          <w:i/>
        </w:rPr>
        <w:t xml:space="preserve">; </w:t>
      </w:r>
      <w:hyperlink r:id="rId12" w:history="1">
        <w:r w:rsidR="001C0859" w:rsidRPr="00572F5B">
          <w:rPr>
            <w:rStyle w:val="Hyperlink"/>
            <w:i/>
          </w:rPr>
          <w:t>info@endcorporalpunishment.org</w:t>
        </w:r>
      </w:hyperlink>
    </w:p>
    <w:p w:rsidR="00C901EC" w:rsidRPr="001C0859" w:rsidRDefault="00EE7077" w:rsidP="001C0859">
      <w:pPr>
        <w:tabs>
          <w:tab w:val="left" w:pos="8244"/>
          <w:tab w:val="left" w:pos="9160"/>
          <w:tab w:val="left" w:pos="10076"/>
          <w:tab w:val="left" w:pos="10992"/>
          <w:tab w:val="left" w:pos="11908"/>
          <w:tab w:val="left" w:pos="12824"/>
          <w:tab w:val="left" w:pos="13740"/>
          <w:tab w:val="left" w:pos="14656"/>
        </w:tabs>
        <w:rPr>
          <w:i/>
        </w:rPr>
      </w:pPr>
      <w:r>
        <w:rPr>
          <w:i/>
        </w:rPr>
        <w:t>January 2013</w:t>
      </w:r>
    </w:p>
    <w:p w:rsidR="009F4B59" w:rsidRDefault="009F4B59" w:rsidP="009F4B59">
      <w:pPr>
        <w:autoSpaceDE w:val="0"/>
        <w:autoSpaceDN w:val="0"/>
        <w:adjustRightInd w:val="0"/>
        <w:spacing w:after="120"/>
      </w:pPr>
    </w:p>
    <w:sectPr w:rsidR="009F4B59" w:rsidSect="00E90F1D">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F1" w:rsidRDefault="003E73F1">
      <w:r>
        <w:separator/>
      </w:r>
    </w:p>
  </w:endnote>
  <w:endnote w:type="continuationSeparator" w:id="0">
    <w:p w:rsidR="003E73F1" w:rsidRDefault="003E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Courier New"/>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39" w:rsidRDefault="00CF3C9D">
    <w:pPr>
      <w:pStyle w:val="Footer"/>
      <w:framePr w:wrap="around" w:vAnchor="text" w:hAnchor="margin" w:xAlign="center" w:y="1"/>
      <w:rPr>
        <w:rStyle w:val="PageNumber"/>
      </w:rPr>
    </w:pPr>
    <w:r>
      <w:rPr>
        <w:rStyle w:val="PageNumber"/>
      </w:rPr>
      <w:fldChar w:fldCharType="begin"/>
    </w:r>
    <w:r w:rsidR="00767639">
      <w:rPr>
        <w:rStyle w:val="PageNumber"/>
      </w:rPr>
      <w:instrText xml:space="preserve">PAGE  </w:instrText>
    </w:r>
    <w:r>
      <w:rPr>
        <w:rStyle w:val="PageNumber"/>
      </w:rPr>
      <w:fldChar w:fldCharType="end"/>
    </w:r>
  </w:p>
  <w:p w:rsidR="00767639" w:rsidRDefault="0076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3" w:rsidRDefault="00F63112">
    <w:pPr>
      <w:pStyle w:val="Footer"/>
      <w:jc w:val="center"/>
    </w:pPr>
    <w:r>
      <w:fldChar w:fldCharType="begin"/>
    </w:r>
    <w:r>
      <w:instrText xml:space="preserve"> PAGE   \* MERGEFORMAT </w:instrText>
    </w:r>
    <w:r>
      <w:fldChar w:fldCharType="separate"/>
    </w:r>
    <w:r w:rsidR="003E479B">
      <w:rPr>
        <w:noProof/>
      </w:rPr>
      <w:t>2</w:t>
    </w:r>
    <w:r>
      <w:rPr>
        <w:noProof/>
      </w:rPr>
      <w:fldChar w:fldCharType="end"/>
    </w:r>
  </w:p>
  <w:p w:rsidR="000002B3" w:rsidRDefault="000002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F1" w:rsidRDefault="003E73F1">
      <w:r>
        <w:separator/>
      </w:r>
    </w:p>
  </w:footnote>
  <w:footnote w:type="continuationSeparator" w:id="0">
    <w:p w:rsidR="003E73F1" w:rsidRDefault="003E73F1">
      <w:r>
        <w:continuationSeparator/>
      </w:r>
    </w:p>
  </w:footnote>
  <w:footnote w:id="1">
    <w:p w:rsidR="00815F37" w:rsidRPr="00F16E50" w:rsidRDefault="00815F37" w:rsidP="00F16E50">
      <w:pPr>
        <w:rPr>
          <w:sz w:val="20"/>
          <w:szCs w:val="20"/>
        </w:rPr>
      </w:pPr>
      <w:r w:rsidRPr="00F16E50">
        <w:rPr>
          <w:rStyle w:val="FootnoteReference"/>
          <w:sz w:val="20"/>
          <w:szCs w:val="20"/>
        </w:rPr>
        <w:footnoteRef/>
      </w:r>
      <w:r w:rsidRPr="00F16E50">
        <w:rPr>
          <w:sz w:val="20"/>
          <w:szCs w:val="20"/>
        </w:rPr>
        <w:t xml:space="preserve"> 10 October 2012, CRC/C/TUV/1, paras. 147-151, 189, 256, 257, 284-286, 330</w:t>
      </w:r>
    </w:p>
  </w:footnote>
  <w:footnote w:id="2">
    <w:p w:rsidR="00F16E50" w:rsidRPr="00F16E50" w:rsidRDefault="00F16E50">
      <w:pPr>
        <w:pStyle w:val="FootnoteText"/>
      </w:pPr>
      <w:r w:rsidRPr="00F16E50">
        <w:rPr>
          <w:rStyle w:val="FootnoteReference"/>
        </w:rPr>
        <w:footnoteRef/>
      </w:r>
      <w:r w:rsidRPr="00F16E50">
        <w:t xml:space="preserve"> 10 October 2012, CRC/C/TUV/1, Initial report to the Committee on the Rights of the Child, para. 148</w:t>
      </w:r>
    </w:p>
  </w:footnote>
  <w:footnote w:id="3">
    <w:p w:rsidR="00815F37" w:rsidRPr="00F16E50" w:rsidRDefault="00815F37" w:rsidP="00815F37">
      <w:pPr>
        <w:pStyle w:val="FootnoteText"/>
      </w:pPr>
      <w:r w:rsidRPr="00F16E50">
        <w:rPr>
          <w:rStyle w:val="FootnoteReference"/>
        </w:rPr>
        <w:footnoteRef/>
      </w:r>
      <w:r w:rsidRPr="00F16E50">
        <w:t xml:space="preserve"> 7 August 2009, CEDAW/C/TUV/CO/2, Concluding observations on initial/second report, paras. 39 and 40</w:t>
      </w:r>
    </w:p>
  </w:footnote>
  <w:footnote w:id="4">
    <w:p w:rsidR="00F16E50" w:rsidRPr="00F16E50" w:rsidRDefault="00F16E50">
      <w:pPr>
        <w:pStyle w:val="FootnoteText"/>
      </w:pPr>
      <w:r w:rsidRPr="00F16E50">
        <w:rPr>
          <w:rStyle w:val="FootnoteReference"/>
        </w:rPr>
        <w:footnoteRef/>
      </w:r>
      <w:r w:rsidRPr="00F16E50">
        <w:t xml:space="preserve"> 9 January 2009, A/HRC/10/84, Report of the Working Group, para. 68(8)</w:t>
      </w:r>
    </w:p>
  </w:footnote>
  <w:footnote w:id="5">
    <w:p w:rsidR="00815F37" w:rsidRPr="00F16E50" w:rsidRDefault="00815F37" w:rsidP="00815F37">
      <w:pPr>
        <w:pStyle w:val="FootnoteText"/>
      </w:pPr>
      <w:r w:rsidRPr="00F16E50">
        <w:rPr>
          <w:rStyle w:val="FootnoteReference"/>
        </w:rPr>
        <w:footnoteRef/>
      </w:r>
      <w:r w:rsidRPr="00F16E50">
        <w:t xml:space="preserve"> 9 January 2009, </w:t>
      </w:r>
      <w:r w:rsidRPr="00F16E50">
        <w:rPr>
          <w:rFonts w:eastAsia="Calibri"/>
        </w:rPr>
        <w:t>A/HRC/10/84, Report of the Working Group, para.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8"/>
  </w:num>
  <w:num w:numId="4">
    <w:abstractNumId w:val="2"/>
  </w:num>
  <w:num w:numId="5">
    <w:abstractNumId w:val="5"/>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EE"/>
    <w:rsid w:val="000002B3"/>
    <w:rsid w:val="000176F0"/>
    <w:rsid w:val="0002146E"/>
    <w:rsid w:val="000217BF"/>
    <w:rsid w:val="000622FD"/>
    <w:rsid w:val="00065B23"/>
    <w:rsid w:val="00095574"/>
    <w:rsid w:val="000A2278"/>
    <w:rsid w:val="000C258F"/>
    <w:rsid w:val="000C2E75"/>
    <w:rsid w:val="000C4E7B"/>
    <w:rsid w:val="000D2264"/>
    <w:rsid w:val="000D3716"/>
    <w:rsid w:val="001174EC"/>
    <w:rsid w:val="00126044"/>
    <w:rsid w:val="00131A88"/>
    <w:rsid w:val="0014488F"/>
    <w:rsid w:val="00147F85"/>
    <w:rsid w:val="00150855"/>
    <w:rsid w:val="00162F5A"/>
    <w:rsid w:val="00170DED"/>
    <w:rsid w:val="00186346"/>
    <w:rsid w:val="00187E2A"/>
    <w:rsid w:val="001C0859"/>
    <w:rsid w:val="001D53F4"/>
    <w:rsid w:val="001D56D4"/>
    <w:rsid w:val="001E140B"/>
    <w:rsid w:val="001F68F0"/>
    <w:rsid w:val="00205A1A"/>
    <w:rsid w:val="00215035"/>
    <w:rsid w:val="002230EE"/>
    <w:rsid w:val="00232740"/>
    <w:rsid w:val="00237875"/>
    <w:rsid w:val="00242520"/>
    <w:rsid w:val="002638C7"/>
    <w:rsid w:val="00264AF9"/>
    <w:rsid w:val="00272F68"/>
    <w:rsid w:val="002A01E3"/>
    <w:rsid w:val="002A06FC"/>
    <w:rsid w:val="002A7206"/>
    <w:rsid w:val="002C3B80"/>
    <w:rsid w:val="002D6FD4"/>
    <w:rsid w:val="002E09C9"/>
    <w:rsid w:val="002E4E5B"/>
    <w:rsid w:val="002E70F4"/>
    <w:rsid w:val="003054F7"/>
    <w:rsid w:val="00306C1D"/>
    <w:rsid w:val="00307A90"/>
    <w:rsid w:val="00315F04"/>
    <w:rsid w:val="00316151"/>
    <w:rsid w:val="00322E14"/>
    <w:rsid w:val="003425C6"/>
    <w:rsid w:val="00353CF1"/>
    <w:rsid w:val="00361051"/>
    <w:rsid w:val="0036194C"/>
    <w:rsid w:val="00363E33"/>
    <w:rsid w:val="00373271"/>
    <w:rsid w:val="003803FE"/>
    <w:rsid w:val="003942F0"/>
    <w:rsid w:val="003A2838"/>
    <w:rsid w:val="003B3498"/>
    <w:rsid w:val="003C2A68"/>
    <w:rsid w:val="003C3A5C"/>
    <w:rsid w:val="003C4086"/>
    <w:rsid w:val="003E0B57"/>
    <w:rsid w:val="003E479B"/>
    <w:rsid w:val="003E73F1"/>
    <w:rsid w:val="003F1015"/>
    <w:rsid w:val="00414428"/>
    <w:rsid w:val="00425F3B"/>
    <w:rsid w:val="00437B2C"/>
    <w:rsid w:val="00441CD3"/>
    <w:rsid w:val="00463C10"/>
    <w:rsid w:val="004720C4"/>
    <w:rsid w:val="004737EE"/>
    <w:rsid w:val="00490379"/>
    <w:rsid w:val="00496A97"/>
    <w:rsid w:val="004C053B"/>
    <w:rsid w:val="004C3E11"/>
    <w:rsid w:val="004D0FF8"/>
    <w:rsid w:val="004D4BCC"/>
    <w:rsid w:val="004D68EA"/>
    <w:rsid w:val="004E431B"/>
    <w:rsid w:val="004E4E1B"/>
    <w:rsid w:val="004E691B"/>
    <w:rsid w:val="004F5801"/>
    <w:rsid w:val="004F70CD"/>
    <w:rsid w:val="00501052"/>
    <w:rsid w:val="00501B6B"/>
    <w:rsid w:val="00517458"/>
    <w:rsid w:val="00520D79"/>
    <w:rsid w:val="005223A5"/>
    <w:rsid w:val="00543B9A"/>
    <w:rsid w:val="0055414A"/>
    <w:rsid w:val="0056432B"/>
    <w:rsid w:val="00574FE3"/>
    <w:rsid w:val="00581B3E"/>
    <w:rsid w:val="00581D48"/>
    <w:rsid w:val="00597780"/>
    <w:rsid w:val="00597BD9"/>
    <w:rsid w:val="005A66D2"/>
    <w:rsid w:val="005B26CA"/>
    <w:rsid w:val="005C4DDD"/>
    <w:rsid w:val="005E2DC2"/>
    <w:rsid w:val="005E35E7"/>
    <w:rsid w:val="005E7FE5"/>
    <w:rsid w:val="00605D18"/>
    <w:rsid w:val="006101B1"/>
    <w:rsid w:val="0061376B"/>
    <w:rsid w:val="0061399F"/>
    <w:rsid w:val="00620FAB"/>
    <w:rsid w:val="006215DC"/>
    <w:rsid w:val="0062349A"/>
    <w:rsid w:val="00623A0A"/>
    <w:rsid w:val="0062663B"/>
    <w:rsid w:val="00635B11"/>
    <w:rsid w:val="00655F1A"/>
    <w:rsid w:val="00681915"/>
    <w:rsid w:val="00683622"/>
    <w:rsid w:val="006A2DC8"/>
    <w:rsid w:val="006B237E"/>
    <w:rsid w:val="006B76CE"/>
    <w:rsid w:val="006C6EBB"/>
    <w:rsid w:val="006E3A2C"/>
    <w:rsid w:val="006E6660"/>
    <w:rsid w:val="00716CCE"/>
    <w:rsid w:val="00723CE2"/>
    <w:rsid w:val="00737E41"/>
    <w:rsid w:val="007604D4"/>
    <w:rsid w:val="00766D98"/>
    <w:rsid w:val="00767639"/>
    <w:rsid w:val="0077355C"/>
    <w:rsid w:val="00784AEA"/>
    <w:rsid w:val="007915BB"/>
    <w:rsid w:val="00797CC8"/>
    <w:rsid w:val="007A6173"/>
    <w:rsid w:val="007B15F5"/>
    <w:rsid w:val="007B398A"/>
    <w:rsid w:val="007B4603"/>
    <w:rsid w:val="007C1A2A"/>
    <w:rsid w:val="007C22B7"/>
    <w:rsid w:val="007D2F31"/>
    <w:rsid w:val="007F25EE"/>
    <w:rsid w:val="007F791E"/>
    <w:rsid w:val="00815F37"/>
    <w:rsid w:val="00816537"/>
    <w:rsid w:val="00817D13"/>
    <w:rsid w:val="00825FA5"/>
    <w:rsid w:val="00827320"/>
    <w:rsid w:val="008320BF"/>
    <w:rsid w:val="008331E5"/>
    <w:rsid w:val="00835EFC"/>
    <w:rsid w:val="00841425"/>
    <w:rsid w:val="00847A77"/>
    <w:rsid w:val="00861D14"/>
    <w:rsid w:val="008644FA"/>
    <w:rsid w:val="0087342C"/>
    <w:rsid w:val="0088280B"/>
    <w:rsid w:val="008925A3"/>
    <w:rsid w:val="008A26A7"/>
    <w:rsid w:val="008A3955"/>
    <w:rsid w:val="008A633C"/>
    <w:rsid w:val="008B273F"/>
    <w:rsid w:val="008B74E3"/>
    <w:rsid w:val="008C11CA"/>
    <w:rsid w:val="008C78D6"/>
    <w:rsid w:val="008D4985"/>
    <w:rsid w:val="008D4A87"/>
    <w:rsid w:val="008D5519"/>
    <w:rsid w:val="008E2F21"/>
    <w:rsid w:val="008E4894"/>
    <w:rsid w:val="00902C77"/>
    <w:rsid w:val="00921E92"/>
    <w:rsid w:val="00923377"/>
    <w:rsid w:val="00924C1F"/>
    <w:rsid w:val="00963DD6"/>
    <w:rsid w:val="0098296F"/>
    <w:rsid w:val="00994D13"/>
    <w:rsid w:val="009A201E"/>
    <w:rsid w:val="009A2D05"/>
    <w:rsid w:val="009B2828"/>
    <w:rsid w:val="009C24BF"/>
    <w:rsid w:val="009C25E9"/>
    <w:rsid w:val="009C2A38"/>
    <w:rsid w:val="009E0C08"/>
    <w:rsid w:val="009F4B59"/>
    <w:rsid w:val="009F5901"/>
    <w:rsid w:val="00A1392E"/>
    <w:rsid w:val="00A436C7"/>
    <w:rsid w:val="00A460B6"/>
    <w:rsid w:val="00A52185"/>
    <w:rsid w:val="00A66F36"/>
    <w:rsid w:val="00AB131E"/>
    <w:rsid w:val="00AB1753"/>
    <w:rsid w:val="00AE43FB"/>
    <w:rsid w:val="00AF4016"/>
    <w:rsid w:val="00B1020E"/>
    <w:rsid w:val="00B14123"/>
    <w:rsid w:val="00B2447D"/>
    <w:rsid w:val="00B36E76"/>
    <w:rsid w:val="00B438B7"/>
    <w:rsid w:val="00B55728"/>
    <w:rsid w:val="00B57CFD"/>
    <w:rsid w:val="00B61ACB"/>
    <w:rsid w:val="00B73008"/>
    <w:rsid w:val="00B803B9"/>
    <w:rsid w:val="00B8682F"/>
    <w:rsid w:val="00B87C69"/>
    <w:rsid w:val="00B95040"/>
    <w:rsid w:val="00B9545D"/>
    <w:rsid w:val="00BA2A8D"/>
    <w:rsid w:val="00BB5726"/>
    <w:rsid w:val="00BB7182"/>
    <w:rsid w:val="00BD259A"/>
    <w:rsid w:val="00BD4B13"/>
    <w:rsid w:val="00C02A56"/>
    <w:rsid w:val="00C17385"/>
    <w:rsid w:val="00C252DE"/>
    <w:rsid w:val="00C37622"/>
    <w:rsid w:val="00C518E3"/>
    <w:rsid w:val="00C61D88"/>
    <w:rsid w:val="00C63547"/>
    <w:rsid w:val="00C7296B"/>
    <w:rsid w:val="00C901EC"/>
    <w:rsid w:val="00C90493"/>
    <w:rsid w:val="00C91BB2"/>
    <w:rsid w:val="00C97C42"/>
    <w:rsid w:val="00CF3C9D"/>
    <w:rsid w:val="00CF6F86"/>
    <w:rsid w:val="00D04D81"/>
    <w:rsid w:val="00D146FD"/>
    <w:rsid w:val="00D14AE4"/>
    <w:rsid w:val="00D35287"/>
    <w:rsid w:val="00D46AF1"/>
    <w:rsid w:val="00D47ABA"/>
    <w:rsid w:val="00D5594E"/>
    <w:rsid w:val="00D64999"/>
    <w:rsid w:val="00D67B66"/>
    <w:rsid w:val="00D90209"/>
    <w:rsid w:val="00DB4C9E"/>
    <w:rsid w:val="00DE4FD8"/>
    <w:rsid w:val="00DF2A6A"/>
    <w:rsid w:val="00DF6F07"/>
    <w:rsid w:val="00DF6FBF"/>
    <w:rsid w:val="00E105D0"/>
    <w:rsid w:val="00E120C8"/>
    <w:rsid w:val="00E144EC"/>
    <w:rsid w:val="00E218F1"/>
    <w:rsid w:val="00E24EB5"/>
    <w:rsid w:val="00E262BB"/>
    <w:rsid w:val="00E348D1"/>
    <w:rsid w:val="00E37399"/>
    <w:rsid w:val="00E376CA"/>
    <w:rsid w:val="00E37F64"/>
    <w:rsid w:val="00E745E0"/>
    <w:rsid w:val="00E74E94"/>
    <w:rsid w:val="00E8745C"/>
    <w:rsid w:val="00E90F1D"/>
    <w:rsid w:val="00EB5CC6"/>
    <w:rsid w:val="00EE7077"/>
    <w:rsid w:val="00EF577B"/>
    <w:rsid w:val="00EF6D99"/>
    <w:rsid w:val="00F03CDA"/>
    <w:rsid w:val="00F16E50"/>
    <w:rsid w:val="00F22B10"/>
    <w:rsid w:val="00F27919"/>
    <w:rsid w:val="00F325F7"/>
    <w:rsid w:val="00F33F0E"/>
    <w:rsid w:val="00F47779"/>
    <w:rsid w:val="00F51705"/>
    <w:rsid w:val="00F63112"/>
    <w:rsid w:val="00F63B63"/>
    <w:rsid w:val="00F7085F"/>
    <w:rsid w:val="00F70EFA"/>
    <w:rsid w:val="00F8476D"/>
    <w:rsid w:val="00FB3818"/>
    <w:rsid w:val="00FC3D6C"/>
    <w:rsid w:val="00FD148E"/>
    <w:rsid w:val="00FE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5_G Char,Schriftart: 9 pt Char"/>
    <w:basedOn w:val="DefaultParagraphFont"/>
    <w:uiPriority w:val="99"/>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92079426">
      <w:bodyDiv w:val="1"/>
      <w:marLeft w:val="0"/>
      <w:marRight w:val="0"/>
      <w:marTop w:val="0"/>
      <w:marBottom w:val="0"/>
      <w:divBdr>
        <w:top w:val="none" w:sz="0" w:space="0" w:color="auto"/>
        <w:left w:val="none" w:sz="0" w:space="0" w:color="auto"/>
        <w:bottom w:val="none" w:sz="0" w:space="0" w:color="auto"/>
        <w:right w:val="none" w:sz="0" w:space="0" w:color="auto"/>
      </w:divBdr>
      <w:divsChild>
        <w:div w:id="1990476136">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endcorporalpunishment.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dcorporalpunishment.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endcorporalpunishment.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83611-C63D-4E6F-AA09-B90EC146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6170</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 Owen</cp:lastModifiedBy>
  <cp:revision>5</cp:revision>
  <cp:lastPrinted>2005-01-04T09:45:00Z</cp:lastPrinted>
  <dcterms:created xsi:type="dcterms:W3CDTF">2013-01-04T06:57:00Z</dcterms:created>
  <dcterms:modified xsi:type="dcterms:W3CDTF">2013-01-04T07:32:00Z</dcterms:modified>
</cp:coreProperties>
</file>