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5" w:rsidRDefault="001A3C69">
      <w:pPr>
        <w:jc w:val="center"/>
        <w:rPr>
          <w:rFonts w:ascii="Arial Black" w:hAnsi="Arial Black"/>
          <w:b/>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32.75pt">
            <v:imagedata r:id="rId9" o:title=""/>
          </v:shape>
        </w:pict>
      </w:r>
    </w:p>
    <w:p w:rsidR="00767639" w:rsidRDefault="00E24EB5" w:rsidP="00E24EB5">
      <w:pPr>
        <w:jc w:val="center"/>
      </w:pPr>
      <w:r w:rsidRPr="00FE1332">
        <w:rPr>
          <w:b/>
          <w:sz w:val="28"/>
          <w:szCs w:val="28"/>
        </w:rPr>
        <w:t xml:space="preserve">BRIEFING ON </w:t>
      </w:r>
      <w:r w:rsidR="008B273F">
        <w:rPr>
          <w:b/>
          <w:sz w:val="28"/>
          <w:szCs w:val="28"/>
          <w:u w:val="single"/>
        </w:rPr>
        <w:t>KUWAIT</w:t>
      </w:r>
      <w:r w:rsidRPr="00FE1332">
        <w:rPr>
          <w:b/>
          <w:sz w:val="28"/>
          <w:szCs w:val="28"/>
        </w:rPr>
        <w:t xml:space="preserve"> FOR THE COMMITTEE </w:t>
      </w:r>
      <w:r>
        <w:rPr>
          <w:b/>
          <w:sz w:val="28"/>
          <w:szCs w:val="28"/>
        </w:rPr>
        <w:t xml:space="preserve">ON THE RIGHTS OF THE CHILD, </w:t>
      </w:r>
      <w:r w:rsidRPr="00FE1332">
        <w:rPr>
          <w:b/>
          <w:sz w:val="28"/>
          <w:szCs w:val="28"/>
        </w:rPr>
        <w:t>PRESESSIONAL WORKING GROUP –</w:t>
      </w:r>
      <w:r w:rsidR="009C2A38">
        <w:rPr>
          <w:b/>
          <w:sz w:val="28"/>
          <w:szCs w:val="28"/>
        </w:rPr>
        <w:t xml:space="preserve"> </w:t>
      </w:r>
      <w:r w:rsidR="0056432B">
        <w:rPr>
          <w:b/>
          <w:sz w:val="28"/>
          <w:szCs w:val="28"/>
          <w:u w:val="single"/>
        </w:rPr>
        <w:t>February 2013</w:t>
      </w:r>
    </w:p>
    <w:p w:rsidR="00767639" w:rsidRDefault="00767639">
      <w:pPr>
        <w:jc w:val="center"/>
        <w:rPr>
          <w:i/>
        </w:rPr>
      </w:pPr>
      <w:r>
        <w:rPr>
          <w:i/>
        </w:rPr>
        <w:t>From Peter Newell, Coordinator, Global Initiative</w:t>
      </w:r>
    </w:p>
    <w:p w:rsidR="00E24EB5" w:rsidRDefault="001A3C69" w:rsidP="00E24EB5">
      <w:pPr>
        <w:jc w:val="center"/>
        <w:rPr>
          <w:rStyle w:val="Hyperlink"/>
          <w:i/>
        </w:rPr>
      </w:pPr>
      <w:hyperlink r:id="rId10" w:history="1">
        <w:r w:rsidR="00767639">
          <w:rPr>
            <w:rStyle w:val="Hyperlink"/>
            <w:i/>
          </w:rPr>
          <w:t>info@endcorporalpunishment.org</w:t>
        </w:r>
      </w:hyperlink>
    </w:p>
    <w:p w:rsidR="00767639" w:rsidRPr="00E24EB5" w:rsidRDefault="001A3C69" w:rsidP="00E24EB5">
      <w:pPr>
        <w:jc w:val="center"/>
        <w:rPr>
          <w:i/>
          <w:color w:val="0000FF"/>
          <w:u w:val="single"/>
        </w:rPr>
      </w:pPr>
      <w:r>
        <w:rPr>
          <w:b/>
          <w:noProof/>
          <w:u w:val="single"/>
        </w:rPr>
        <w:pict>
          <v:shapetype id="_x0000_t202" coordsize="21600,21600" o:spt="202" path="m,l,21600r21600,l21600,xe">
            <v:stroke joinstyle="miter"/>
            <v:path gradientshapeok="t" o:connecttype="rect"/>
          </v:shapetype>
          <v:shape id="Text Box 2" o:spid="_x0000_s1027" type="#_x0000_t202" style="position:absolute;left:0;text-align:left;margin-left:0;margin-top:19.35pt;width:480.35pt;height:349.95pt;z-index:1;visibility:visible;mso-height-percent:200;mso-wrap-distance-left:9pt;mso-wrap-distance-top:0;mso-wrap-distance-right:9pt;mso-wrap-distance-bottom:0;mso-position-horizontal:center;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C0859" w:rsidRPr="000D3716" w:rsidRDefault="00E24EB5" w:rsidP="001C0859">
                  <w:pPr>
                    <w:spacing w:after="120"/>
                    <w:rPr>
                      <w:b/>
                      <w:iCs/>
                      <w:sz w:val="28"/>
                      <w:szCs w:val="28"/>
                    </w:rPr>
                  </w:pPr>
                  <w:r w:rsidRPr="000D3716">
                    <w:rPr>
                      <w:b/>
                      <w:sz w:val="28"/>
                      <w:szCs w:val="28"/>
                    </w:rPr>
                    <w:t xml:space="preserve">This briefing describes the legality of corporal punishment of children in </w:t>
                  </w:r>
                  <w:r w:rsidR="008B273F">
                    <w:rPr>
                      <w:b/>
                      <w:sz w:val="28"/>
                      <w:szCs w:val="28"/>
                    </w:rPr>
                    <w:t>Kuwait</w:t>
                  </w:r>
                  <w:r w:rsidRPr="000D3716">
                    <w:rPr>
                      <w:b/>
                      <w:sz w:val="28"/>
                      <w:szCs w:val="28"/>
                    </w:rPr>
                    <w:t xml:space="preserve">. </w:t>
                  </w:r>
                  <w:r w:rsidR="001C0859" w:rsidRPr="000D3716">
                    <w:rPr>
                      <w:b/>
                      <w:sz w:val="28"/>
                      <w:szCs w:val="28"/>
                    </w:rPr>
                    <w:t>In light of the Committee’s General Comment No. 8 on “The right of the child to protection from corporal punishment and other cruel or degrading forms of punishment”</w:t>
                  </w:r>
                  <w:r w:rsidR="000D3716">
                    <w:rPr>
                      <w:b/>
                      <w:sz w:val="28"/>
                      <w:szCs w:val="28"/>
                    </w:rPr>
                    <w:t xml:space="preserve">, </w:t>
                  </w:r>
                  <w:r w:rsidR="0056432B">
                    <w:rPr>
                      <w:b/>
                      <w:sz w:val="28"/>
                      <w:szCs w:val="28"/>
                    </w:rPr>
                    <w:t xml:space="preserve">the </w:t>
                  </w:r>
                  <w:r w:rsidR="009411FD">
                    <w:rPr>
                      <w:b/>
                      <w:sz w:val="28"/>
                      <w:szCs w:val="28"/>
                    </w:rPr>
                    <w:t>Committee’s previous recommendation</w:t>
                  </w:r>
                  <w:r w:rsidR="0056432B">
                    <w:rPr>
                      <w:b/>
                      <w:sz w:val="28"/>
                      <w:szCs w:val="28"/>
                    </w:rPr>
                    <w:t xml:space="preserve"> on the issue, </w:t>
                  </w:r>
                  <w:r w:rsidR="008B273F">
                    <w:rPr>
                      <w:b/>
                      <w:sz w:val="28"/>
                      <w:szCs w:val="28"/>
                    </w:rPr>
                    <w:t xml:space="preserve">the Government’s acceptance of the recommendation to prohibit made during its UPR in 2010, </w:t>
                  </w:r>
                  <w:r w:rsidR="001C0859" w:rsidRPr="000D3716">
                    <w:rPr>
                      <w:b/>
                      <w:sz w:val="28"/>
                      <w:szCs w:val="28"/>
                    </w:rPr>
                    <w:t>and the importance of eradicating this form of violence given by the UN Secretary General’s Study on Violence against Children, w</w:t>
                  </w:r>
                  <w:r w:rsidR="001C0859" w:rsidRPr="000D3716">
                    <w:rPr>
                      <w:b/>
                      <w:iCs/>
                      <w:sz w:val="28"/>
                      <w:szCs w:val="28"/>
                    </w:rPr>
                    <w:t>e hope the Committee will:</w:t>
                  </w:r>
                </w:p>
                <w:p w:rsidR="001C0859" w:rsidRPr="000D3716" w:rsidRDefault="001C0859" w:rsidP="001C0859">
                  <w:pPr>
                    <w:numPr>
                      <w:ilvl w:val="0"/>
                      <w:numId w:val="8"/>
                    </w:numPr>
                    <w:spacing w:after="120"/>
                    <w:rPr>
                      <w:b/>
                      <w:iCs/>
                      <w:sz w:val="28"/>
                      <w:szCs w:val="28"/>
                    </w:rPr>
                  </w:pPr>
                  <w:r w:rsidRPr="000D3716">
                    <w:rPr>
                      <w:b/>
                      <w:iCs/>
                      <w:sz w:val="28"/>
                      <w:szCs w:val="28"/>
                    </w:rPr>
                    <w:t xml:space="preserve">in its List of Issues for </w:t>
                  </w:r>
                  <w:r w:rsidR="008B273F">
                    <w:rPr>
                      <w:b/>
                      <w:iCs/>
                      <w:sz w:val="28"/>
                      <w:szCs w:val="28"/>
                    </w:rPr>
                    <w:t>Kuwait</w:t>
                  </w:r>
                  <w:r w:rsidR="000D3716" w:rsidRPr="000D3716">
                    <w:rPr>
                      <w:b/>
                      <w:iCs/>
                      <w:sz w:val="28"/>
                      <w:szCs w:val="28"/>
                    </w:rPr>
                    <w:t>, raise the issue of corporal punishment of children, in particular asking w</w:t>
                  </w:r>
                  <w:r w:rsidRPr="000D3716">
                    <w:rPr>
                      <w:b/>
                      <w:sz w:val="28"/>
                      <w:szCs w:val="28"/>
                    </w:rPr>
                    <w:t>hat measures have been taken to</w:t>
                  </w:r>
                  <w:r w:rsidR="009411FD">
                    <w:rPr>
                      <w:b/>
                      <w:sz w:val="28"/>
                      <w:szCs w:val="28"/>
                    </w:rPr>
                    <w:t xml:space="preserve">wards </w:t>
                  </w:r>
                  <w:r w:rsidR="00F22B10">
                    <w:rPr>
                      <w:b/>
                      <w:sz w:val="28"/>
                      <w:szCs w:val="28"/>
                    </w:rPr>
                    <w:t>explicitly prohibit</w:t>
                  </w:r>
                  <w:r w:rsidR="009411FD">
                    <w:rPr>
                      <w:b/>
                      <w:sz w:val="28"/>
                      <w:szCs w:val="28"/>
                    </w:rPr>
                    <w:t>ing</w:t>
                  </w:r>
                  <w:r w:rsidRPr="000D3716">
                    <w:rPr>
                      <w:b/>
                      <w:sz w:val="28"/>
                      <w:szCs w:val="28"/>
                    </w:rPr>
                    <w:t xml:space="preserve"> corporal punishment in all settings, including the home</w:t>
                  </w:r>
                  <w:r w:rsidR="00F22B10">
                    <w:rPr>
                      <w:b/>
                      <w:sz w:val="28"/>
                      <w:szCs w:val="28"/>
                    </w:rPr>
                    <w:t>, schools, penal institutions</w:t>
                  </w:r>
                  <w:r w:rsidRPr="000D3716">
                    <w:rPr>
                      <w:b/>
                      <w:sz w:val="28"/>
                      <w:szCs w:val="28"/>
                    </w:rPr>
                    <w:t xml:space="preserve"> and all forms of alternative care?</w:t>
                  </w:r>
                </w:p>
                <w:p w:rsidR="00E24EB5" w:rsidRPr="000D3716" w:rsidRDefault="000D3716" w:rsidP="000D3716">
                  <w:pPr>
                    <w:numPr>
                      <w:ilvl w:val="0"/>
                      <w:numId w:val="8"/>
                    </w:numPr>
                    <w:spacing w:after="120"/>
                    <w:rPr>
                      <w:sz w:val="28"/>
                      <w:szCs w:val="28"/>
                    </w:rPr>
                  </w:pPr>
                  <w:r>
                    <w:rPr>
                      <w:b/>
                      <w:iCs/>
                      <w:sz w:val="28"/>
                      <w:szCs w:val="28"/>
                    </w:rPr>
                    <w:t>i</w:t>
                  </w:r>
                  <w:r w:rsidRPr="000D3716">
                    <w:rPr>
                      <w:b/>
                      <w:iCs/>
                      <w:sz w:val="28"/>
                      <w:szCs w:val="28"/>
                    </w:rPr>
                    <w:t xml:space="preserve">n its concluding observations on </w:t>
                  </w:r>
                  <w:r w:rsidR="0056432B">
                    <w:rPr>
                      <w:b/>
                      <w:iCs/>
                      <w:sz w:val="28"/>
                      <w:szCs w:val="28"/>
                    </w:rPr>
                    <w:t xml:space="preserve">the </w:t>
                  </w:r>
                  <w:r w:rsidR="008B273F">
                    <w:rPr>
                      <w:b/>
                      <w:iCs/>
                      <w:sz w:val="28"/>
                      <w:szCs w:val="28"/>
                    </w:rPr>
                    <w:t xml:space="preserve">second </w:t>
                  </w:r>
                  <w:r w:rsidR="0056432B">
                    <w:rPr>
                      <w:b/>
                      <w:iCs/>
                      <w:sz w:val="28"/>
                      <w:szCs w:val="28"/>
                    </w:rPr>
                    <w:t xml:space="preserve">report of </w:t>
                  </w:r>
                  <w:r w:rsidR="008B273F">
                    <w:rPr>
                      <w:b/>
                      <w:iCs/>
                      <w:sz w:val="28"/>
                      <w:szCs w:val="28"/>
                    </w:rPr>
                    <w:t>Kuwait,</w:t>
                  </w:r>
                  <w:r w:rsidR="00EE7077">
                    <w:rPr>
                      <w:b/>
                      <w:iCs/>
                      <w:sz w:val="28"/>
                      <w:szCs w:val="28"/>
                    </w:rPr>
                    <w:t xml:space="preserve"> </w:t>
                  </w:r>
                  <w:r w:rsidRPr="000D3716">
                    <w:rPr>
                      <w:b/>
                      <w:iCs/>
                      <w:sz w:val="28"/>
                      <w:szCs w:val="28"/>
                    </w:rPr>
                    <w:t xml:space="preserve">recommend that legislation </w:t>
                  </w:r>
                  <w:r w:rsidR="006E6660">
                    <w:rPr>
                      <w:b/>
                      <w:iCs/>
                      <w:sz w:val="28"/>
                      <w:szCs w:val="28"/>
                    </w:rPr>
                    <w:t xml:space="preserve">is </w:t>
                  </w:r>
                  <w:r w:rsidRPr="000D3716">
                    <w:rPr>
                      <w:b/>
                      <w:iCs/>
                      <w:sz w:val="28"/>
                      <w:szCs w:val="28"/>
                    </w:rPr>
                    <w:t xml:space="preserve">enacted to </w:t>
                  </w:r>
                  <w:r w:rsidR="009411FD">
                    <w:rPr>
                      <w:b/>
                      <w:iCs/>
                      <w:sz w:val="28"/>
                      <w:szCs w:val="28"/>
                    </w:rPr>
                    <w:t>prohibit corporal punishment</w:t>
                  </w:r>
                  <w:r w:rsidR="00F22B10">
                    <w:rPr>
                      <w:b/>
                      <w:iCs/>
                      <w:sz w:val="28"/>
                      <w:szCs w:val="28"/>
                    </w:rPr>
                    <w:t xml:space="preserve"> </w:t>
                  </w:r>
                  <w:r w:rsidRPr="000D3716">
                    <w:rPr>
                      <w:b/>
                      <w:iCs/>
                      <w:sz w:val="28"/>
                      <w:szCs w:val="28"/>
                    </w:rPr>
                    <w:t xml:space="preserve">in all settings, including the home, as a matter of </w:t>
                  </w:r>
                  <w:r w:rsidR="001C0859" w:rsidRPr="000D3716">
                    <w:rPr>
                      <w:b/>
                      <w:sz w:val="28"/>
                      <w:szCs w:val="28"/>
                    </w:rPr>
                    <w:t xml:space="preserve">urgency, and </w:t>
                  </w:r>
                  <w:r>
                    <w:rPr>
                      <w:b/>
                      <w:sz w:val="28"/>
                      <w:szCs w:val="28"/>
                    </w:rPr>
                    <w:t xml:space="preserve">that </w:t>
                  </w:r>
                  <w:r w:rsidR="001C0859" w:rsidRPr="000D3716">
                    <w:rPr>
                      <w:b/>
                      <w:sz w:val="28"/>
                      <w:szCs w:val="28"/>
                    </w:rPr>
                    <w:t xml:space="preserve">prohibition </w:t>
                  </w:r>
                  <w:r>
                    <w:rPr>
                      <w:b/>
                      <w:sz w:val="28"/>
                      <w:szCs w:val="28"/>
                    </w:rPr>
                    <w:t xml:space="preserve">is enforced </w:t>
                  </w:r>
                  <w:r w:rsidR="001C0859" w:rsidRPr="000D3716">
                    <w:rPr>
                      <w:b/>
                      <w:sz w:val="28"/>
                      <w:szCs w:val="28"/>
                    </w:rPr>
                    <w:t>through appropriate public education and professional training on positive, participatory and non-violent forms of education and childrearing.</w:t>
                  </w:r>
                </w:p>
              </w:txbxContent>
            </v:textbox>
            <w10:wrap type="topAndBottom"/>
          </v:shape>
        </w:pict>
      </w:r>
      <w:r w:rsidR="00767639" w:rsidRPr="00E24EB5">
        <w:rPr>
          <w:i/>
          <w:sz w:val="28"/>
          <w:szCs w:val="28"/>
        </w:rPr>
        <w:t xml:space="preserve"> </w:t>
      </w:r>
    </w:p>
    <w:p w:rsidR="00767639" w:rsidRDefault="00767639">
      <w:pPr>
        <w:spacing w:after="120"/>
        <w:jc w:val="center"/>
      </w:pPr>
    </w:p>
    <w:p w:rsidR="008B273F" w:rsidRPr="00F01BFF" w:rsidRDefault="008B273F" w:rsidP="008B273F">
      <w:pPr>
        <w:spacing w:after="120"/>
        <w:rPr>
          <w:b/>
          <w:sz w:val="28"/>
          <w:szCs w:val="28"/>
        </w:rPr>
      </w:pPr>
      <w:r>
        <w:rPr>
          <w:b/>
          <w:sz w:val="28"/>
          <w:szCs w:val="28"/>
        </w:rPr>
        <w:t>1 Kuwait’s</w:t>
      </w:r>
      <w:r w:rsidRPr="00F01BFF">
        <w:rPr>
          <w:b/>
          <w:sz w:val="28"/>
          <w:szCs w:val="28"/>
        </w:rPr>
        <w:t xml:space="preserve"> report to the Committee</w:t>
      </w:r>
      <w:r>
        <w:rPr>
          <w:b/>
          <w:sz w:val="28"/>
          <w:szCs w:val="28"/>
        </w:rPr>
        <w:t xml:space="preserve"> on the Rights of the Child</w:t>
      </w:r>
    </w:p>
    <w:p w:rsidR="008B273F" w:rsidRDefault="008B273F" w:rsidP="008B273F">
      <w:pPr>
        <w:pStyle w:val="Header"/>
        <w:spacing w:after="120"/>
        <w:ind w:left="482" w:hanging="482"/>
        <w:rPr>
          <w:sz w:val="26"/>
          <w:szCs w:val="26"/>
        </w:rPr>
      </w:pPr>
      <w:r>
        <w:rPr>
          <w:sz w:val="26"/>
          <w:szCs w:val="26"/>
        </w:rPr>
        <w:t xml:space="preserve">1.1 </w:t>
      </w:r>
      <w:r w:rsidRPr="00483F29">
        <w:rPr>
          <w:sz w:val="26"/>
          <w:szCs w:val="26"/>
        </w:rPr>
        <w:t xml:space="preserve">The second state party report to the Committee on </w:t>
      </w:r>
      <w:r>
        <w:rPr>
          <w:sz w:val="26"/>
          <w:szCs w:val="26"/>
        </w:rPr>
        <w:t>the Rights of the Child</w:t>
      </w:r>
      <w:r w:rsidRPr="00483F29">
        <w:rPr>
          <w:sz w:val="26"/>
          <w:szCs w:val="26"/>
        </w:rPr>
        <w:t xml:space="preserve"> (</w:t>
      </w:r>
      <w:r>
        <w:rPr>
          <w:sz w:val="26"/>
          <w:szCs w:val="26"/>
        </w:rPr>
        <w:t>CRC/C/KWT/2</w:t>
      </w:r>
      <w:r w:rsidRPr="00483F29">
        <w:rPr>
          <w:sz w:val="26"/>
          <w:szCs w:val="26"/>
        </w:rPr>
        <w:t xml:space="preserve">) describes measures </w:t>
      </w:r>
      <w:r>
        <w:rPr>
          <w:sz w:val="26"/>
          <w:szCs w:val="26"/>
        </w:rPr>
        <w:t xml:space="preserve">to address child abuse but </w:t>
      </w:r>
      <w:r w:rsidRPr="00483F29">
        <w:rPr>
          <w:sz w:val="26"/>
          <w:szCs w:val="26"/>
        </w:rPr>
        <w:t xml:space="preserve">it </w:t>
      </w:r>
      <w:r>
        <w:rPr>
          <w:sz w:val="26"/>
          <w:szCs w:val="26"/>
        </w:rPr>
        <w:t>makes no reference to violence that may lawfully be inflicted on children in the guise of “discipline”.</w:t>
      </w:r>
    </w:p>
    <w:p w:rsidR="008B273F" w:rsidRDefault="008B273F" w:rsidP="008B273F">
      <w:pPr>
        <w:pStyle w:val="Header"/>
        <w:spacing w:after="120"/>
        <w:ind w:left="482" w:hanging="482"/>
      </w:pPr>
    </w:p>
    <w:p w:rsidR="008B273F" w:rsidRPr="00F01BFF" w:rsidRDefault="008B273F" w:rsidP="008B273F">
      <w:pPr>
        <w:spacing w:after="120"/>
        <w:ind w:left="482" w:hanging="482"/>
        <w:rPr>
          <w:sz w:val="28"/>
          <w:szCs w:val="28"/>
        </w:rPr>
      </w:pPr>
      <w:r>
        <w:rPr>
          <w:b/>
          <w:sz w:val="28"/>
          <w:szCs w:val="28"/>
        </w:rPr>
        <w:t>2 The legality of c</w:t>
      </w:r>
      <w:r w:rsidRPr="00F01BFF">
        <w:rPr>
          <w:b/>
          <w:sz w:val="28"/>
          <w:szCs w:val="28"/>
        </w:rPr>
        <w:t xml:space="preserve">orporal punishment of children in </w:t>
      </w:r>
      <w:r>
        <w:rPr>
          <w:b/>
          <w:sz w:val="28"/>
          <w:szCs w:val="28"/>
        </w:rPr>
        <w:t>Kuwait</w:t>
      </w:r>
    </w:p>
    <w:p w:rsidR="008B273F" w:rsidRPr="008C188E" w:rsidRDefault="008B273F" w:rsidP="008B273F">
      <w:pPr>
        <w:spacing w:after="120"/>
        <w:ind w:left="482" w:hanging="482"/>
        <w:rPr>
          <w:sz w:val="26"/>
          <w:szCs w:val="26"/>
        </w:rPr>
      </w:pPr>
      <w:bookmarkStart w:id="0" w:name="OLE_LINK52"/>
      <w:bookmarkStart w:id="1" w:name="OLE_LINK53"/>
      <w:r>
        <w:rPr>
          <w:sz w:val="26"/>
          <w:szCs w:val="26"/>
        </w:rPr>
        <w:t xml:space="preserve">2.1 </w:t>
      </w:r>
      <w:r w:rsidR="009411FD">
        <w:rPr>
          <w:i/>
          <w:sz w:val="26"/>
          <w:szCs w:val="26"/>
        </w:rPr>
        <w:t xml:space="preserve">Summary: </w:t>
      </w:r>
      <w:r w:rsidRPr="008C188E">
        <w:rPr>
          <w:sz w:val="26"/>
          <w:szCs w:val="26"/>
        </w:rPr>
        <w:t>In Kuwait, corporal punishment of children is lawful in the home and in alternative care settings</w:t>
      </w:r>
      <w:r>
        <w:rPr>
          <w:sz w:val="26"/>
          <w:szCs w:val="26"/>
        </w:rPr>
        <w:t>; it is</w:t>
      </w:r>
      <w:r w:rsidRPr="008C188E">
        <w:rPr>
          <w:sz w:val="26"/>
          <w:szCs w:val="26"/>
        </w:rPr>
        <w:t xml:space="preserve"> possibly </w:t>
      </w:r>
      <w:r>
        <w:rPr>
          <w:sz w:val="26"/>
          <w:szCs w:val="26"/>
        </w:rPr>
        <w:t xml:space="preserve">prohibited </w:t>
      </w:r>
      <w:r w:rsidRPr="008C188E">
        <w:rPr>
          <w:sz w:val="26"/>
          <w:szCs w:val="26"/>
        </w:rPr>
        <w:t xml:space="preserve">in schools and </w:t>
      </w:r>
      <w:r>
        <w:rPr>
          <w:sz w:val="26"/>
          <w:szCs w:val="26"/>
        </w:rPr>
        <w:t>the penal system</w:t>
      </w:r>
      <w:r w:rsidRPr="008C188E">
        <w:rPr>
          <w:sz w:val="26"/>
          <w:szCs w:val="26"/>
        </w:rPr>
        <w:t>.</w:t>
      </w:r>
    </w:p>
    <w:p w:rsidR="008B273F" w:rsidRPr="008C188E" w:rsidRDefault="008B273F" w:rsidP="008B273F">
      <w:pPr>
        <w:spacing w:after="120"/>
        <w:ind w:left="482" w:hanging="482"/>
        <w:rPr>
          <w:sz w:val="26"/>
          <w:szCs w:val="26"/>
        </w:rPr>
      </w:pPr>
      <w:r w:rsidRPr="009411FD">
        <w:rPr>
          <w:sz w:val="26"/>
          <w:szCs w:val="26"/>
        </w:rPr>
        <w:lastRenderedPageBreak/>
        <w:t>2.2</w:t>
      </w:r>
      <w:r>
        <w:rPr>
          <w:sz w:val="26"/>
          <w:szCs w:val="26"/>
        </w:rPr>
        <w:t xml:space="preserve"> </w:t>
      </w:r>
      <w:r>
        <w:rPr>
          <w:i/>
          <w:sz w:val="26"/>
          <w:szCs w:val="26"/>
        </w:rPr>
        <w:t>Home (</w:t>
      </w:r>
      <w:r w:rsidRPr="008B273F">
        <w:rPr>
          <w:i/>
          <w:sz w:val="26"/>
          <w:szCs w:val="26"/>
          <w:u w:val="single"/>
        </w:rPr>
        <w:t>lawful</w:t>
      </w:r>
      <w:r>
        <w:rPr>
          <w:i/>
          <w:sz w:val="26"/>
          <w:szCs w:val="26"/>
        </w:rPr>
        <w:t xml:space="preserve">): </w:t>
      </w:r>
      <w:r w:rsidRPr="008C188E">
        <w:rPr>
          <w:sz w:val="26"/>
          <w:szCs w:val="26"/>
        </w:rPr>
        <w:t>Under examination by the Human Rights Committee in 2011, the Government indicated that corporal punishment is unlawful under the Criminal Code.</w:t>
      </w:r>
      <w:r w:rsidRPr="008C188E">
        <w:rPr>
          <w:rStyle w:val="FootnoteReference"/>
          <w:sz w:val="26"/>
          <w:szCs w:val="26"/>
        </w:rPr>
        <w:footnoteReference w:id="1"/>
      </w:r>
      <w:r w:rsidRPr="008C188E">
        <w:rPr>
          <w:sz w:val="26"/>
          <w:szCs w:val="26"/>
        </w:rPr>
        <w:t xml:space="preserve"> However, article 29 of the Criminal Code </w:t>
      </w:r>
      <w:r w:rsidR="009411FD">
        <w:rPr>
          <w:sz w:val="26"/>
          <w:szCs w:val="26"/>
        </w:rPr>
        <w:t>(</w:t>
      </w:r>
      <w:r w:rsidR="002F5E22">
        <w:rPr>
          <w:sz w:val="26"/>
          <w:szCs w:val="26"/>
        </w:rPr>
        <w:t>No. 16/</w:t>
      </w:r>
      <w:r w:rsidR="009411FD">
        <w:rPr>
          <w:sz w:val="26"/>
          <w:szCs w:val="26"/>
        </w:rPr>
        <w:t xml:space="preserve">1960) </w:t>
      </w:r>
      <w:r w:rsidRPr="008C188E">
        <w:rPr>
          <w:sz w:val="26"/>
          <w:szCs w:val="26"/>
        </w:rPr>
        <w:t>provides for the right of parents to discipline their children, and provisions against violence and abuse in the Criminal Code, the Juvenile</w:t>
      </w:r>
      <w:r>
        <w:rPr>
          <w:sz w:val="26"/>
          <w:szCs w:val="26"/>
        </w:rPr>
        <w:t xml:space="preserve">s Act (No. 8/1983), </w:t>
      </w:r>
      <w:r w:rsidRPr="008C188E">
        <w:rPr>
          <w:sz w:val="26"/>
          <w:szCs w:val="26"/>
        </w:rPr>
        <w:t>Law No. 413</w:t>
      </w:r>
      <w:r w:rsidR="002F5E22">
        <w:rPr>
          <w:sz w:val="26"/>
          <w:szCs w:val="26"/>
        </w:rPr>
        <w:t>/</w:t>
      </w:r>
      <w:r w:rsidRPr="008C188E">
        <w:rPr>
          <w:sz w:val="26"/>
          <w:szCs w:val="26"/>
        </w:rPr>
        <w:t>2009 obliging all physicians to report physical and psychological violence against children</w:t>
      </w:r>
      <w:r>
        <w:rPr>
          <w:sz w:val="26"/>
          <w:szCs w:val="26"/>
        </w:rPr>
        <w:t xml:space="preserve">, the Personal Status Act (No. 51/1984) and the Constitution (1962) </w:t>
      </w:r>
      <w:r w:rsidRPr="008C188E">
        <w:rPr>
          <w:sz w:val="26"/>
          <w:szCs w:val="26"/>
        </w:rPr>
        <w:t xml:space="preserve"> are not interpreted as prohibiting corporal punishment in childrearing.</w:t>
      </w:r>
    </w:p>
    <w:p w:rsidR="008B273F" w:rsidRPr="008C188E" w:rsidRDefault="008B273F" w:rsidP="008B273F">
      <w:pPr>
        <w:spacing w:after="120"/>
        <w:ind w:left="482" w:hanging="482"/>
        <w:rPr>
          <w:b/>
          <w:sz w:val="26"/>
          <w:szCs w:val="26"/>
          <w:u w:val="single"/>
        </w:rPr>
      </w:pPr>
      <w:r>
        <w:rPr>
          <w:sz w:val="26"/>
          <w:szCs w:val="26"/>
        </w:rPr>
        <w:t xml:space="preserve">2.3 </w:t>
      </w:r>
      <w:r>
        <w:rPr>
          <w:i/>
          <w:sz w:val="26"/>
          <w:szCs w:val="26"/>
        </w:rPr>
        <w:t>Schools (</w:t>
      </w:r>
      <w:r w:rsidRPr="008B273F">
        <w:rPr>
          <w:i/>
          <w:sz w:val="26"/>
          <w:szCs w:val="26"/>
          <w:u w:val="single"/>
        </w:rPr>
        <w:t>?unlawful</w:t>
      </w:r>
      <w:r>
        <w:rPr>
          <w:i/>
          <w:sz w:val="26"/>
          <w:szCs w:val="26"/>
        </w:rPr>
        <w:t>):</w:t>
      </w:r>
      <w:r>
        <w:rPr>
          <w:sz w:val="26"/>
          <w:szCs w:val="26"/>
        </w:rPr>
        <w:t xml:space="preserve"> </w:t>
      </w:r>
      <w:r w:rsidRPr="008C188E">
        <w:rPr>
          <w:sz w:val="26"/>
          <w:szCs w:val="26"/>
        </w:rPr>
        <w:t>During examination by the Committee on the Rights of the Child in 1998, the Government stated that a statute dating back to the 1960s prohibited corporal punishment by teachers or school principals.</w:t>
      </w:r>
      <w:r w:rsidRPr="008C188E">
        <w:rPr>
          <w:rStyle w:val="FootnoteReference"/>
          <w:sz w:val="26"/>
          <w:szCs w:val="26"/>
        </w:rPr>
        <w:footnoteReference w:id="2"/>
      </w:r>
      <w:r w:rsidRPr="008C188E">
        <w:rPr>
          <w:sz w:val="26"/>
          <w:szCs w:val="26"/>
        </w:rPr>
        <w:t xml:space="preserve"> In 2011, the Government informed the Human Rights Committee that corporal punishment is prohibited by statute.</w:t>
      </w:r>
      <w:r w:rsidRPr="008C188E">
        <w:rPr>
          <w:rStyle w:val="FootnoteReference"/>
          <w:sz w:val="26"/>
          <w:szCs w:val="26"/>
        </w:rPr>
        <w:footnoteReference w:id="3"/>
      </w:r>
      <w:r w:rsidRPr="008C188E">
        <w:rPr>
          <w:sz w:val="26"/>
          <w:szCs w:val="26"/>
        </w:rPr>
        <w:t xml:space="preserve"> </w:t>
      </w:r>
      <w:r>
        <w:rPr>
          <w:sz w:val="26"/>
          <w:szCs w:val="26"/>
        </w:rPr>
        <w:t>This information has not been verified</w:t>
      </w:r>
      <w:r w:rsidRPr="008C188E">
        <w:rPr>
          <w:sz w:val="26"/>
          <w:szCs w:val="26"/>
        </w:rPr>
        <w:t xml:space="preserve">: the Government has not provided legal references and we have </w:t>
      </w:r>
      <w:r>
        <w:rPr>
          <w:sz w:val="26"/>
          <w:szCs w:val="26"/>
        </w:rPr>
        <w:t xml:space="preserve">been unable to examine the full texts of </w:t>
      </w:r>
      <w:r w:rsidRPr="008C188E">
        <w:rPr>
          <w:sz w:val="26"/>
          <w:szCs w:val="26"/>
        </w:rPr>
        <w:t xml:space="preserve">the Compulsory Education Act (1965) </w:t>
      </w:r>
      <w:r>
        <w:rPr>
          <w:sz w:val="26"/>
          <w:szCs w:val="26"/>
        </w:rPr>
        <w:t>and</w:t>
      </w:r>
      <w:r w:rsidRPr="008C188E">
        <w:rPr>
          <w:sz w:val="26"/>
          <w:szCs w:val="26"/>
        </w:rPr>
        <w:t xml:space="preserve"> the General Education Act (1987).</w:t>
      </w:r>
    </w:p>
    <w:p w:rsidR="008B273F" w:rsidRDefault="008B273F" w:rsidP="008B273F">
      <w:pPr>
        <w:spacing w:after="120"/>
        <w:ind w:left="482" w:hanging="482"/>
        <w:rPr>
          <w:sz w:val="26"/>
          <w:szCs w:val="26"/>
        </w:rPr>
      </w:pPr>
      <w:r>
        <w:rPr>
          <w:sz w:val="26"/>
          <w:szCs w:val="26"/>
        </w:rPr>
        <w:t xml:space="preserve">2.4 </w:t>
      </w:r>
      <w:r>
        <w:rPr>
          <w:i/>
          <w:sz w:val="26"/>
          <w:szCs w:val="26"/>
        </w:rPr>
        <w:t xml:space="preserve"> Penal system – sentence for crime (</w:t>
      </w:r>
      <w:r w:rsidRPr="008B273F">
        <w:rPr>
          <w:i/>
          <w:sz w:val="26"/>
          <w:szCs w:val="26"/>
          <w:u w:val="single"/>
        </w:rPr>
        <w:t>?unlawful</w:t>
      </w:r>
      <w:r>
        <w:rPr>
          <w:i/>
          <w:sz w:val="26"/>
          <w:szCs w:val="26"/>
        </w:rPr>
        <w:t>):</w:t>
      </w:r>
      <w:r>
        <w:rPr>
          <w:sz w:val="26"/>
          <w:szCs w:val="26"/>
        </w:rPr>
        <w:t xml:space="preserve"> T</w:t>
      </w:r>
      <w:r w:rsidRPr="008C188E">
        <w:rPr>
          <w:sz w:val="26"/>
          <w:szCs w:val="26"/>
        </w:rPr>
        <w:t>here is no provision for judicial corporal punishment in the Juvenile</w:t>
      </w:r>
      <w:r>
        <w:rPr>
          <w:sz w:val="26"/>
          <w:szCs w:val="26"/>
        </w:rPr>
        <w:t>s Act</w:t>
      </w:r>
      <w:r w:rsidRPr="008C188E">
        <w:rPr>
          <w:sz w:val="26"/>
          <w:szCs w:val="26"/>
        </w:rPr>
        <w:t>, the Criminal Code or the Criminal Procedure Code (1960). In 2001 draft legislation was under discussion which would have amended the Criminal Code to comply with Islamic law, including penalties of amputation and flogging, but this appears not to have been enacted (information unconfirmed).</w:t>
      </w:r>
      <w:r>
        <w:rPr>
          <w:sz w:val="26"/>
          <w:szCs w:val="26"/>
        </w:rPr>
        <w:t xml:space="preserve"> </w:t>
      </w:r>
    </w:p>
    <w:p w:rsidR="008B273F" w:rsidRPr="008C188E" w:rsidRDefault="008B273F" w:rsidP="008B273F">
      <w:pPr>
        <w:spacing w:after="120"/>
        <w:ind w:left="482" w:hanging="482"/>
        <w:rPr>
          <w:sz w:val="26"/>
          <w:szCs w:val="26"/>
        </w:rPr>
      </w:pPr>
      <w:r>
        <w:rPr>
          <w:sz w:val="26"/>
          <w:szCs w:val="26"/>
        </w:rPr>
        <w:t xml:space="preserve">2.5 </w:t>
      </w:r>
      <w:r>
        <w:rPr>
          <w:i/>
          <w:sz w:val="26"/>
          <w:szCs w:val="26"/>
        </w:rPr>
        <w:t>Penal system – disciplinary measure in penal institutions (</w:t>
      </w:r>
      <w:r w:rsidRPr="008B273F">
        <w:rPr>
          <w:i/>
          <w:sz w:val="26"/>
          <w:szCs w:val="26"/>
          <w:u w:val="single"/>
        </w:rPr>
        <w:t>?unlawful</w:t>
      </w:r>
      <w:r>
        <w:rPr>
          <w:i/>
          <w:sz w:val="26"/>
          <w:szCs w:val="26"/>
        </w:rPr>
        <w:t xml:space="preserve">): </w:t>
      </w:r>
      <w:r w:rsidRPr="008C188E">
        <w:rPr>
          <w:sz w:val="26"/>
          <w:szCs w:val="26"/>
        </w:rPr>
        <w:t xml:space="preserve">Corporal punishment is unlawful under </w:t>
      </w:r>
      <w:r>
        <w:rPr>
          <w:sz w:val="26"/>
          <w:szCs w:val="26"/>
        </w:rPr>
        <w:t>the Prison Regulation Act (</w:t>
      </w:r>
      <w:r w:rsidRPr="008C188E">
        <w:rPr>
          <w:sz w:val="26"/>
          <w:szCs w:val="26"/>
        </w:rPr>
        <w:t>No. 26</w:t>
      </w:r>
      <w:r>
        <w:rPr>
          <w:sz w:val="26"/>
          <w:szCs w:val="26"/>
        </w:rPr>
        <w:t>/</w:t>
      </w:r>
      <w:r w:rsidRPr="008C188E">
        <w:rPr>
          <w:sz w:val="26"/>
          <w:szCs w:val="26"/>
        </w:rPr>
        <w:t>1962), though we have yet to establish whether it is explicitly prohibited. There is no explicit prohibition in the Juvenile</w:t>
      </w:r>
      <w:r>
        <w:rPr>
          <w:sz w:val="26"/>
          <w:szCs w:val="26"/>
        </w:rPr>
        <w:t>s</w:t>
      </w:r>
      <w:r w:rsidRPr="008C188E">
        <w:rPr>
          <w:sz w:val="26"/>
          <w:szCs w:val="26"/>
        </w:rPr>
        <w:t xml:space="preserve"> </w:t>
      </w:r>
      <w:r>
        <w:rPr>
          <w:sz w:val="26"/>
          <w:szCs w:val="26"/>
        </w:rPr>
        <w:t>Act</w:t>
      </w:r>
      <w:r w:rsidRPr="008C188E">
        <w:rPr>
          <w:sz w:val="26"/>
          <w:szCs w:val="26"/>
        </w:rPr>
        <w:t>.</w:t>
      </w:r>
    </w:p>
    <w:p w:rsidR="008B273F" w:rsidRPr="008B273F" w:rsidRDefault="008B273F" w:rsidP="008B273F">
      <w:pPr>
        <w:spacing w:after="120"/>
        <w:ind w:left="482" w:hanging="482"/>
        <w:rPr>
          <w:sz w:val="26"/>
          <w:szCs w:val="26"/>
        </w:rPr>
      </w:pPr>
      <w:r w:rsidRPr="008B273F">
        <w:rPr>
          <w:sz w:val="26"/>
          <w:szCs w:val="26"/>
        </w:rPr>
        <w:t xml:space="preserve">2.6 </w:t>
      </w:r>
      <w:r w:rsidRPr="008B273F">
        <w:rPr>
          <w:i/>
          <w:sz w:val="26"/>
          <w:szCs w:val="26"/>
        </w:rPr>
        <w:t>Alternative care settings (</w:t>
      </w:r>
      <w:r w:rsidRPr="008B273F">
        <w:rPr>
          <w:i/>
          <w:sz w:val="26"/>
          <w:szCs w:val="26"/>
          <w:u w:val="single"/>
        </w:rPr>
        <w:t>lawful</w:t>
      </w:r>
      <w:r w:rsidRPr="008B273F">
        <w:rPr>
          <w:i/>
          <w:sz w:val="26"/>
          <w:szCs w:val="26"/>
        </w:rPr>
        <w:t xml:space="preserve">): </w:t>
      </w:r>
      <w:r w:rsidRPr="008B273F">
        <w:rPr>
          <w:sz w:val="26"/>
          <w:szCs w:val="26"/>
        </w:rPr>
        <w:t xml:space="preserve">There is no explicit prohibition in law – including in the Juveniles Act, the Family Fostering Act (No. 82/1977) and the Children’s Nurseries Act (No. 111/2000) – and </w:t>
      </w:r>
      <w:r w:rsidR="002F5E22">
        <w:rPr>
          <w:sz w:val="26"/>
          <w:szCs w:val="26"/>
        </w:rPr>
        <w:t xml:space="preserve">corporal punishment is presumably lawful under </w:t>
      </w:r>
      <w:r w:rsidRPr="008B273F">
        <w:rPr>
          <w:sz w:val="26"/>
          <w:szCs w:val="26"/>
        </w:rPr>
        <w:t>article 29 of the Criminal Code (see above).</w:t>
      </w:r>
    </w:p>
    <w:bookmarkEnd w:id="0"/>
    <w:bookmarkEnd w:id="1"/>
    <w:p w:rsidR="000C2E75" w:rsidRDefault="000C2E75" w:rsidP="008B273F">
      <w:pPr>
        <w:spacing w:after="120"/>
        <w:ind w:left="482" w:hanging="482"/>
        <w:rPr>
          <w:b/>
          <w:sz w:val="28"/>
          <w:szCs w:val="28"/>
        </w:rPr>
      </w:pPr>
    </w:p>
    <w:p w:rsidR="008B273F" w:rsidRPr="00B902F0" w:rsidRDefault="008B273F" w:rsidP="008B273F">
      <w:pPr>
        <w:spacing w:after="120"/>
        <w:ind w:left="482" w:hanging="482"/>
        <w:rPr>
          <w:b/>
          <w:sz w:val="28"/>
          <w:szCs w:val="28"/>
        </w:rPr>
      </w:pPr>
      <w:r>
        <w:rPr>
          <w:b/>
          <w:sz w:val="28"/>
          <w:szCs w:val="28"/>
        </w:rPr>
        <w:t xml:space="preserve">3 </w:t>
      </w:r>
      <w:r w:rsidRPr="00B902F0">
        <w:rPr>
          <w:b/>
          <w:sz w:val="28"/>
          <w:szCs w:val="28"/>
        </w:rPr>
        <w:t>Recommendations by human rights treaty bodies and during the UPR</w:t>
      </w:r>
    </w:p>
    <w:p w:rsidR="008B273F" w:rsidRPr="000814CF" w:rsidRDefault="008B273F" w:rsidP="008B273F">
      <w:pPr>
        <w:spacing w:after="120"/>
        <w:ind w:left="482" w:hanging="482"/>
        <w:rPr>
          <w:bCs/>
          <w:sz w:val="26"/>
          <w:szCs w:val="26"/>
        </w:rPr>
      </w:pPr>
      <w:r>
        <w:rPr>
          <w:bCs/>
          <w:sz w:val="26"/>
          <w:szCs w:val="26"/>
        </w:rPr>
        <w:t xml:space="preserve">3.1 </w:t>
      </w:r>
      <w:r w:rsidR="000814CF" w:rsidRPr="000814CF">
        <w:rPr>
          <w:bCs/>
          <w:i/>
          <w:sz w:val="26"/>
          <w:szCs w:val="26"/>
        </w:rPr>
        <w:t>CRC:</w:t>
      </w:r>
      <w:r w:rsidR="000814CF">
        <w:rPr>
          <w:bCs/>
          <w:sz w:val="26"/>
          <w:szCs w:val="26"/>
        </w:rPr>
        <w:t xml:space="preserve"> </w:t>
      </w:r>
      <w:r w:rsidRPr="000814CF">
        <w:rPr>
          <w:bCs/>
          <w:sz w:val="26"/>
          <w:szCs w:val="26"/>
        </w:rPr>
        <w:t>Kuwait’s initial report to the Committee on the Rights of the Child was examined in 1998. The Committee expressed concern about corporal punishment and recommended law reform to prohibit it in the family, schools, other institutions and in society generally.</w:t>
      </w:r>
      <w:r w:rsidRPr="000814CF">
        <w:rPr>
          <w:rStyle w:val="FootnoteReference"/>
          <w:sz w:val="26"/>
          <w:szCs w:val="26"/>
        </w:rPr>
        <w:footnoteReference w:id="4"/>
      </w:r>
    </w:p>
    <w:p w:rsidR="008B273F" w:rsidRPr="000814CF" w:rsidRDefault="008B273F" w:rsidP="008B273F">
      <w:pPr>
        <w:spacing w:after="120"/>
        <w:ind w:left="482" w:hanging="482"/>
        <w:rPr>
          <w:bCs/>
          <w:sz w:val="26"/>
          <w:szCs w:val="26"/>
        </w:rPr>
      </w:pPr>
      <w:r w:rsidRPr="000814CF">
        <w:rPr>
          <w:bCs/>
          <w:sz w:val="26"/>
          <w:szCs w:val="26"/>
        </w:rPr>
        <w:t xml:space="preserve">3.2 </w:t>
      </w:r>
      <w:r w:rsidR="000814CF" w:rsidRPr="000814CF">
        <w:rPr>
          <w:bCs/>
          <w:i/>
          <w:sz w:val="26"/>
          <w:szCs w:val="26"/>
        </w:rPr>
        <w:t>UPR:</w:t>
      </w:r>
      <w:r w:rsidR="000814CF">
        <w:rPr>
          <w:bCs/>
          <w:sz w:val="26"/>
          <w:szCs w:val="26"/>
        </w:rPr>
        <w:t xml:space="preserve"> </w:t>
      </w:r>
      <w:r w:rsidRPr="000814CF">
        <w:rPr>
          <w:bCs/>
          <w:sz w:val="26"/>
          <w:szCs w:val="26"/>
        </w:rPr>
        <w:t>During the Universal Periodic Review of Kuwait in 2010, the Government accepted the recommendation to “take appropriate measures and introduce legislation which would prohibit corporal punishment of children”.</w:t>
      </w:r>
      <w:r w:rsidRPr="000814CF">
        <w:rPr>
          <w:rStyle w:val="FootnoteReference"/>
          <w:sz w:val="26"/>
          <w:szCs w:val="26"/>
        </w:rPr>
        <w:footnoteReference w:id="5"/>
      </w:r>
    </w:p>
    <w:p w:rsidR="008B273F" w:rsidRDefault="008B273F" w:rsidP="008B273F">
      <w:pPr>
        <w:tabs>
          <w:tab w:val="left" w:pos="8244"/>
          <w:tab w:val="left" w:pos="9160"/>
          <w:tab w:val="left" w:pos="10076"/>
          <w:tab w:val="left" w:pos="10992"/>
          <w:tab w:val="left" w:pos="11908"/>
          <w:tab w:val="left" w:pos="12824"/>
          <w:tab w:val="left" w:pos="13740"/>
          <w:tab w:val="left" w:pos="14656"/>
        </w:tabs>
        <w:spacing w:after="120"/>
        <w:ind w:left="482" w:hanging="482"/>
        <w:rPr>
          <w:i/>
        </w:rPr>
      </w:pPr>
    </w:p>
    <w:p w:rsidR="00C901EC" w:rsidRDefault="000622FD"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rsidR="001C0859" w:rsidRDefault="001A3C69" w:rsidP="001C0859">
      <w:pPr>
        <w:tabs>
          <w:tab w:val="left" w:pos="8244"/>
          <w:tab w:val="left" w:pos="9160"/>
          <w:tab w:val="left" w:pos="10076"/>
          <w:tab w:val="left" w:pos="10992"/>
          <w:tab w:val="left" w:pos="11908"/>
          <w:tab w:val="left" w:pos="12824"/>
          <w:tab w:val="left" w:pos="13740"/>
          <w:tab w:val="left" w:pos="14656"/>
        </w:tabs>
        <w:rPr>
          <w:i/>
        </w:rPr>
      </w:pPr>
      <w:hyperlink r:id="rId11" w:history="1">
        <w:r w:rsidR="001C0859" w:rsidRPr="00572F5B">
          <w:rPr>
            <w:rStyle w:val="Hyperlink"/>
            <w:i/>
          </w:rPr>
          <w:t>www.endcorporalpunishment.org</w:t>
        </w:r>
      </w:hyperlink>
      <w:r w:rsidR="001C0859">
        <w:rPr>
          <w:i/>
        </w:rPr>
        <w:t xml:space="preserve">; </w:t>
      </w:r>
      <w:hyperlink r:id="rId12" w:history="1">
        <w:r w:rsidR="001C0859" w:rsidRPr="00572F5B">
          <w:rPr>
            <w:rStyle w:val="Hyperlink"/>
            <w:i/>
          </w:rPr>
          <w:t>info@endcorporalpunishment.org</w:t>
        </w:r>
      </w:hyperlink>
    </w:p>
    <w:p w:rsidR="009F4B59" w:rsidRDefault="00EE7077" w:rsidP="002F5E22">
      <w:pPr>
        <w:tabs>
          <w:tab w:val="left" w:pos="8244"/>
          <w:tab w:val="left" w:pos="9160"/>
          <w:tab w:val="left" w:pos="10076"/>
          <w:tab w:val="left" w:pos="10992"/>
          <w:tab w:val="left" w:pos="11908"/>
          <w:tab w:val="left" w:pos="12824"/>
          <w:tab w:val="left" w:pos="13740"/>
          <w:tab w:val="left" w:pos="14656"/>
        </w:tabs>
      </w:pPr>
      <w:r>
        <w:rPr>
          <w:i/>
        </w:rPr>
        <w:t>January 2013</w:t>
      </w:r>
      <w:bookmarkStart w:id="2" w:name="_GoBack"/>
      <w:bookmarkEnd w:id="2"/>
    </w:p>
    <w:sectPr w:rsidR="009F4B59" w:rsidSect="00E90F1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69" w:rsidRDefault="001A3C69">
      <w:r>
        <w:separator/>
      </w:r>
    </w:p>
  </w:endnote>
  <w:endnote w:type="continuationSeparator" w:id="0">
    <w:p w:rsidR="001A3C69" w:rsidRDefault="001A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2F5E22">
      <w:rPr>
        <w:noProof/>
      </w:rPr>
      <w:t>2</w:t>
    </w:r>
    <w:r>
      <w:rPr>
        <w:noProof/>
      </w:rPr>
      <w:fldChar w:fldCharType="end"/>
    </w:r>
  </w:p>
  <w:p w:rsidR="000002B3" w:rsidRDefault="00000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69" w:rsidRDefault="001A3C69">
      <w:r>
        <w:separator/>
      </w:r>
    </w:p>
  </w:footnote>
  <w:footnote w:type="continuationSeparator" w:id="0">
    <w:p w:rsidR="001A3C69" w:rsidRDefault="001A3C69">
      <w:r>
        <w:continuationSeparator/>
      </w:r>
    </w:p>
  </w:footnote>
  <w:footnote w:id="1">
    <w:p w:rsidR="008B273F" w:rsidRPr="00F2218E" w:rsidRDefault="008B273F" w:rsidP="008B273F">
      <w:pPr>
        <w:pStyle w:val="FootnoteText"/>
      </w:pPr>
      <w:r>
        <w:rPr>
          <w:rStyle w:val="FootnoteReference"/>
        </w:rPr>
        <w:footnoteRef/>
      </w:r>
      <w:r>
        <w:t xml:space="preserve"> 17 August 2011, CCPR/C/KWT/Q/2/Add.1, Written replies to list of issues, para. 99</w:t>
      </w:r>
    </w:p>
  </w:footnote>
  <w:footnote w:id="2">
    <w:p w:rsidR="008B273F" w:rsidRPr="00F2218E" w:rsidRDefault="008B273F" w:rsidP="008B273F">
      <w:pPr>
        <w:pStyle w:val="FootnoteText"/>
      </w:pPr>
      <w:r>
        <w:rPr>
          <w:rStyle w:val="FootnoteReference"/>
        </w:rPr>
        <w:footnoteRef/>
      </w:r>
      <w:r>
        <w:t xml:space="preserve"> </w:t>
      </w:r>
      <w:r w:rsidRPr="00D83832">
        <w:t>2 October 1998, CRC/C/SR.489, Summary record, para. 8</w:t>
      </w:r>
    </w:p>
  </w:footnote>
  <w:footnote w:id="3">
    <w:p w:rsidR="008B273F" w:rsidRPr="00F2218E" w:rsidRDefault="008B273F" w:rsidP="008B273F">
      <w:pPr>
        <w:pStyle w:val="FootnoteText"/>
      </w:pPr>
      <w:r>
        <w:rPr>
          <w:rStyle w:val="FootnoteReference"/>
        </w:rPr>
        <w:footnoteRef/>
      </w:r>
      <w:r>
        <w:t xml:space="preserve"> 17 August 2011, CCPR/C/KWT/Q/2/Add.1, Written replies to list of issues, para. 101</w:t>
      </w:r>
    </w:p>
  </w:footnote>
  <w:footnote w:id="4">
    <w:p w:rsidR="008B273F" w:rsidRPr="00F2218E" w:rsidRDefault="008B273F" w:rsidP="008B273F">
      <w:pPr>
        <w:pStyle w:val="FootnoteText"/>
      </w:pPr>
      <w:r>
        <w:rPr>
          <w:rStyle w:val="FootnoteReference"/>
        </w:rPr>
        <w:footnoteRef/>
      </w:r>
      <w:r>
        <w:t xml:space="preserve"> 26 October 1998, CRC/C/15/Add.96, Concluding observations on initial report, para. 21</w:t>
      </w:r>
    </w:p>
  </w:footnote>
  <w:footnote w:id="5">
    <w:p w:rsidR="008B273F" w:rsidRPr="00A03341" w:rsidRDefault="008B273F" w:rsidP="008B273F">
      <w:pPr>
        <w:pStyle w:val="FootnoteText"/>
      </w:pPr>
      <w:r>
        <w:rPr>
          <w:rStyle w:val="FootnoteReference"/>
        </w:rPr>
        <w:footnoteRef/>
      </w:r>
      <w:r>
        <w:t xml:space="preserve"> </w:t>
      </w:r>
      <w:r w:rsidRPr="00A03341">
        <w:t>16 June 2010, A/HRC/15/15, Report of the</w:t>
      </w:r>
      <w:r>
        <w:t xml:space="preserve"> Working Group</w:t>
      </w:r>
      <w:r w:rsidRPr="00A03341">
        <w:t>, para.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622FD"/>
    <w:rsid w:val="000814CF"/>
    <w:rsid w:val="00095574"/>
    <w:rsid w:val="000A2278"/>
    <w:rsid w:val="000C258F"/>
    <w:rsid w:val="000C2E75"/>
    <w:rsid w:val="000C4E7B"/>
    <w:rsid w:val="000D2264"/>
    <w:rsid w:val="000D3716"/>
    <w:rsid w:val="001174EC"/>
    <w:rsid w:val="00131A88"/>
    <w:rsid w:val="0014488F"/>
    <w:rsid w:val="00147F85"/>
    <w:rsid w:val="00150855"/>
    <w:rsid w:val="00162F5A"/>
    <w:rsid w:val="00170DED"/>
    <w:rsid w:val="00186346"/>
    <w:rsid w:val="00187E2A"/>
    <w:rsid w:val="001A3C69"/>
    <w:rsid w:val="001C0859"/>
    <w:rsid w:val="001D53F4"/>
    <w:rsid w:val="001D56D4"/>
    <w:rsid w:val="001E140B"/>
    <w:rsid w:val="001F68F0"/>
    <w:rsid w:val="00205A1A"/>
    <w:rsid w:val="00215035"/>
    <w:rsid w:val="002230EE"/>
    <w:rsid w:val="00232740"/>
    <w:rsid w:val="00237875"/>
    <w:rsid w:val="00242520"/>
    <w:rsid w:val="002638C7"/>
    <w:rsid w:val="00264AF9"/>
    <w:rsid w:val="00272F68"/>
    <w:rsid w:val="002A01E3"/>
    <w:rsid w:val="002A06FC"/>
    <w:rsid w:val="002A7206"/>
    <w:rsid w:val="002D6FD4"/>
    <w:rsid w:val="002E09C9"/>
    <w:rsid w:val="002E4E5B"/>
    <w:rsid w:val="002F5E22"/>
    <w:rsid w:val="003054F7"/>
    <w:rsid w:val="00306C1D"/>
    <w:rsid w:val="00307A90"/>
    <w:rsid w:val="00315F04"/>
    <w:rsid w:val="00316151"/>
    <w:rsid w:val="00322E14"/>
    <w:rsid w:val="003425C6"/>
    <w:rsid w:val="00353CF1"/>
    <w:rsid w:val="00361051"/>
    <w:rsid w:val="0036194C"/>
    <w:rsid w:val="00373271"/>
    <w:rsid w:val="003942F0"/>
    <w:rsid w:val="003A2838"/>
    <w:rsid w:val="003B3498"/>
    <w:rsid w:val="003C2A68"/>
    <w:rsid w:val="003C3A5C"/>
    <w:rsid w:val="003C4086"/>
    <w:rsid w:val="003E0B57"/>
    <w:rsid w:val="003F1015"/>
    <w:rsid w:val="00414428"/>
    <w:rsid w:val="00425F3B"/>
    <w:rsid w:val="00437B2C"/>
    <w:rsid w:val="00441CD3"/>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43B9A"/>
    <w:rsid w:val="0055414A"/>
    <w:rsid w:val="0056432B"/>
    <w:rsid w:val="00574FE3"/>
    <w:rsid w:val="00581B3E"/>
    <w:rsid w:val="00581D48"/>
    <w:rsid w:val="00597780"/>
    <w:rsid w:val="00597BD9"/>
    <w:rsid w:val="005A66D2"/>
    <w:rsid w:val="005B26CA"/>
    <w:rsid w:val="005C4DDD"/>
    <w:rsid w:val="005E2DC2"/>
    <w:rsid w:val="005E35E7"/>
    <w:rsid w:val="00605D18"/>
    <w:rsid w:val="006101B1"/>
    <w:rsid w:val="0061376B"/>
    <w:rsid w:val="0061399F"/>
    <w:rsid w:val="00620FAB"/>
    <w:rsid w:val="006215DC"/>
    <w:rsid w:val="0062349A"/>
    <w:rsid w:val="00623A0A"/>
    <w:rsid w:val="0062663B"/>
    <w:rsid w:val="00635B11"/>
    <w:rsid w:val="00655F1A"/>
    <w:rsid w:val="00681915"/>
    <w:rsid w:val="00683622"/>
    <w:rsid w:val="006A2DC8"/>
    <w:rsid w:val="006B237E"/>
    <w:rsid w:val="006B76CE"/>
    <w:rsid w:val="006C6EBB"/>
    <w:rsid w:val="006E3A2C"/>
    <w:rsid w:val="006E6660"/>
    <w:rsid w:val="00716CCE"/>
    <w:rsid w:val="00723CE2"/>
    <w:rsid w:val="00737E41"/>
    <w:rsid w:val="007604D4"/>
    <w:rsid w:val="00766D98"/>
    <w:rsid w:val="00767639"/>
    <w:rsid w:val="00784AEA"/>
    <w:rsid w:val="007915BB"/>
    <w:rsid w:val="00797CC8"/>
    <w:rsid w:val="007A6173"/>
    <w:rsid w:val="007B15F5"/>
    <w:rsid w:val="007B398A"/>
    <w:rsid w:val="007B4603"/>
    <w:rsid w:val="007C1A2A"/>
    <w:rsid w:val="007C22B7"/>
    <w:rsid w:val="007D2F31"/>
    <w:rsid w:val="007F25EE"/>
    <w:rsid w:val="007F791E"/>
    <w:rsid w:val="00816537"/>
    <w:rsid w:val="00817D13"/>
    <w:rsid w:val="00825FA5"/>
    <w:rsid w:val="00827320"/>
    <w:rsid w:val="008320BF"/>
    <w:rsid w:val="008331E5"/>
    <w:rsid w:val="00835EFC"/>
    <w:rsid w:val="00847A77"/>
    <w:rsid w:val="00861D14"/>
    <w:rsid w:val="008644FA"/>
    <w:rsid w:val="0087342C"/>
    <w:rsid w:val="0088280B"/>
    <w:rsid w:val="008925A3"/>
    <w:rsid w:val="008A26A7"/>
    <w:rsid w:val="008A3955"/>
    <w:rsid w:val="008B273F"/>
    <w:rsid w:val="008B74E3"/>
    <w:rsid w:val="008C11CA"/>
    <w:rsid w:val="008C78D6"/>
    <w:rsid w:val="008D4985"/>
    <w:rsid w:val="008D4A87"/>
    <w:rsid w:val="008D5519"/>
    <w:rsid w:val="008E2F21"/>
    <w:rsid w:val="008E4894"/>
    <w:rsid w:val="00902C77"/>
    <w:rsid w:val="0091789E"/>
    <w:rsid w:val="00921E92"/>
    <w:rsid w:val="00923377"/>
    <w:rsid w:val="00924C1F"/>
    <w:rsid w:val="009411FD"/>
    <w:rsid w:val="00963DD6"/>
    <w:rsid w:val="0098296F"/>
    <w:rsid w:val="00994D13"/>
    <w:rsid w:val="009A201E"/>
    <w:rsid w:val="009A2D05"/>
    <w:rsid w:val="009B2828"/>
    <w:rsid w:val="009C24BF"/>
    <w:rsid w:val="009C25E9"/>
    <w:rsid w:val="009C2A38"/>
    <w:rsid w:val="009E0C08"/>
    <w:rsid w:val="009F4B59"/>
    <w:rsid w:val="009F5901"/>
    <w:rsid w:val="00A1392E"/>
    <w:rsid w:val="00A436C7"/>
    <w:rsid w:val="00A460B6"/>
    <w:rsid w:val="00A52185"/>
    <w:rsid w:val="00A66F36"/>
    <w:rsid w:val="00AB131E"/>
    <w:rsid w:val="00AB1753"/>
    <w:rsid w:val="00AE43FB"/>
    <w:rsid w:val="00AF4016"/>
    <w:rsid w:val="00B14123"/>
    <w:rsid w:val="00B2447D"/>
    <w:rsid w:val="00B36E76"/>
    <w:rsid w:val="00B438B7"/>
    <w:rsid w:val="00B55728"/>
    <w:rsid w:val="00B57CFD"/>
    <w:rsid w:val="00B61ACB"/>
    <w:rsid w:val="00B73008"/>
    <w:rsid w:val="00B803B9"/>
    <w:rsid w:val="00B87C69"/>
    <w:rsid w:val="00B95040"/>
    <w:rsid w:val="00B9545D"/>
    <w:rsid w:val="00BA2A8D"/>
    <w:rsid w:val="00BB5726"/>
    <w:rsid w:val="00BB7182"/>
    <w:rsid w:val="00BD259A"/>
    <w:rsid w:val="00BD4B13"/>
    <w:rsid w:val="00C02A56"/>
    <w:rsid w:val="00C17385"/>
    <w:rsid w:val="00C252DE"/>
    <w:rsid w:val="00C37622"/>
    <w:rsid w:val="00C518E3"/>
    <w:rsid w:val="00C61D88"/>
    <w:rsid w:val="00C63547"/>
    <w:rsid w:val="00C7296B"/>
    <w:rsid w:val="00C901EC"/>
    <w:rsid w:val="00C90493"/>
    <w:rsid w:val="00C91BB2"/>
    <w:rsid w:val="00C97C42"/>
    <w:rsid w:val="00CF3C9D"/>
    <w:rsid w:val="00CF6F86"/>
    <w:rsid w:val="00D04D81"/>
    <w:rsid w:val="00D146FD"/>
    <w:rsid w:val="00D14AE4"/>
    <w:rsid w:val="00D35287"/>
    <w:rsid w:val="00D46AF1"/>
    <w:rsid w:val="00D47ABA"/>
    <w:rsid w:val="00D5594E"/>
    <w:rsid w:val="00D64999"/>
    <w:rsid w:val="00D67B66"/>
    <w:rsid w:val="00D90209"/>
    <w:rsid w:val="00DB4C9E"/>
    <w:rsid w:val="00DE4FD8"/>
    <w:rsid w:val="00DF2A6A"/>
    <w:rsid w:val="00DF6F07"/>
    <w:rsid w:val="00DF6FBF"/>
    <w:rsid w:val="00E120C8"/>
    <w:rsid w:val="00E144EC"/>
    <w:rsid w:val="00E218F1"/>
    <w:rsid w:val="00E24EB5"/>
    <w:rsid w:val="00E262BB"/>
    <w:rsid w:val="00E348D1"/>
    <w:rsid w:val="00E37399"/>
    <w:rsid w:val="00E376CA"/>
    <w:rsid w:val="00E37F64"/>
    <w:rsid w:val="00E745E0"/>
    <w:rsid w:val="00E74E94"/>
    <w:rsid w:val="00E8745C"/>
    <w:rsid w:val="00E90F1D"/>
    <w:rsid w:val="00EB5CC6"/>
    <w:rsid w:val="00EE7077"/>
    <w:rsid w:val="00EF577B"/>
    <w:rsid w:val="00EF6D99"/>
    <w:rsid w:val="00F03CDA"/>
    <w:rsid w:val="00F22B10"/>
    <w:rsid w:val="00F27919"/>
    <w:rsid w:val="00F325F7"/>
    <w:rsid w:val="00F33F0E"/>
    <w:rsid w:val="00F47779"/>
    <w:rsid w:val="00F51705"/>
    <w:rsid w:val="00F63112"/>
    <w:rsid w:val="00F63B63"/>
    <w:rsid w:val="00F7085F"/>
    <w:rsid w:val="00F70EFA"/>
    <w:rsid w:val="00F8476D"/>
    <w:rsid w:val="00FB3818"/>
    <w:rsid w:val="00FC3D6C"/>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dcorporalpunishmen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corporalpunishmen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endcorporalpunishmen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E349-CC37-4B5C-BF79-79ACA6D8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3782</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7</cp:revision>
  <cp:lastPrinted>2005-01-04T09:45:00Z</cp:lastPrinted>
  <dcterms:created xsi:type="dcterms:W3CDTF">2013-01-04T05:14:00Z</dcterms:created>
  <dcterms:modified xsi:type="dcterms:W3CDTF">2013-01-04T07:39:00Z</dcterms:modified>
</cp:coreProperties>
</file>